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38AF" w14:textId="6AF421BD" w:rsidR="00256DEB" w:rsidRPr="00BC1F88" w:rsidRDefault="00256DEB" w:rsidP="00BC1F88">
      <w:pPr>
        <w:pStyle w:val="Heading1"/>
      </w:pPr>
      <w:bookmarkStart w:id="0" w:name="_Hlk190698460"/>
      <w:r w:rsidRPr="00BC1F88">
        <w:t xml:space="preserve">Guide to applying for accreditation to deliver a programme (schools and </w:t>
      </w:r>
      <w:proofErr w:type="spellStart"/>
      <w:r w:rsidRPr="00BC1F88">
        <w:t>kura</w:t>
      </w:r>
      <w:proofErr w:type="spellEnd"/>
      <w:r w:rsidRPr="00BC1F88">
        <w:t>)</w:t>
      </w:r>
    </w:p>
    <w:p w14:paraId="08243D0F" w14:textId="71FC2066" w:rsidR="00E52B01" w:rsidRDefault="001B77E2" w:rsidP="00E52B01">
      <w:r>
        <w:rPr>
          <w:noProof/>
        </w:rPr>
        <w:drawing>
          <wp:inline distT="0" distB="0" distL="0" distR="0" wp14:anchorId="7073EBCD" wp14:editId="1878E6D4">
            <wp:extent cx="6381750" cy="1047750"/>
            <wp:effectExtent l="19050" t="0" r="19050" b="0"/>
            <wp:docPr id="1442098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FC7E79D" w14:textId="2FDFD0A2" w:rsidR="00E52B01" w:rsidRPr="00BC1F88" w:rsidRDefault="00E52B01" w:rsidP="00BC1F88">
      <w:pPr>
        <w:pStyle w:val="Heading2"/>
      </w:pPr>
      <w:bookmarkStart w:id="1" w:name="_Hlk195605766"/>
      <w:r w:rsidRPr="00BC1F88">
        <w:t xml:space="preserve">Part 1: </w:t>
      </w:r>
      <w:bookmarkEnd w:id="1"/>
      <w:r w:rsidR="00BC1F88" w:rsidRPr="00BC1F88">
        <w:t xml:space="preserve">Ringa Hora </w:t>
      </w:r>
    </w:p>
    <w:p w14:paraId="63A75ACC" w14:textId="77777777" w:rsidR="008B647E" w:rsidRDefault="00661D3B" w:rsidP="004101F8">
      <w:r>
        <w:t xml:space="preserve">Schools must first apply to Ringa Hora for a letter of support for consent to assess any unit/skill standards that they do </w:t>
      </w:r>
      <w:r w:rsidRPr="00661D3B">
        <w:rPr>
          <w:u w:val="single"/>
        </w:rPr>
        <w:t>not</w:t>
      </w:r>
      <w:r>
        <w:t xml:space="preserve"> already have consent for</w:t>
      </w:r>
      <w:r w:rsidR="007B4557">
        <w:t xml:space="preserve"> (and that fall under Ringa Hora’s area)</w:t>
      </w:r>
      <w:r w:rsidR="000A4897">
        <w:t xml:space="preserve">. </w:t>
      </w:r>
    </w:p>
    <w:p w14:paraId="76A7C937" w14:textId="2C68ABA4" w:rsidR="004101F8" w:rsidRDefault="000A4897" w:rsidP="004101F8">
      <w:r>
        <w:t xml:space="preserve">Check </w:t>
      </w:r>
      <w:r w:rsidR="008B647E">
        <w:t xml:space="preserve">which units you have consent for </w:t>
      </w:r>
      <w:r>
        <w:t xml:space="preserve">on the </w:t>
      </w:r>
      <w:hyperlink r:id="rId15" w:history="1">
        <w:r w:rsidRPr="00604218">
          <w:rPr>
            <w:rStyle w:val="Hyperlink"/>
          </w:rPr>
          <w:t>NZQA website</w:t>
        </w:r>
      </w:hyperlink>
      <w:r w:rsidR="008B647E">
        <w:t xml:space="preserve"> by searching for your school’s name in the search box, clicking on the name of your school, then clicking on the link under Consent to Assess.</w:t>
      </w:r>
      <w:r w:rsidR="005331D4">
        <w:t xml:space="preserve"> Remember that all schools have </w:t>
      </w:r>
      <w:hyperlink r:id="rId16" w:history="1">
        <w:r w:rsidR="005331D4" w:rsidRPr="00F24C23">
          <w:rPr>
            <w:rStyle w:val="Hyperlink"/>
          </w:rPr>
          <w:t>base scope for the domain of Level 1 Hospitality units and one Level 2 Hospitality unit</w:t>
        </w:r>
      </w:hyperlink>
      <w:r w:rsidR="005331D4">
        <w:t>.</w:t>
      </w:r>
    </w:p>
    <w:p w14:paraId="6B6A385C" w14:textId="423AEDF4" w:rsidR="00D57EE6" w:rsidRDefault="00D57EE6" w:rsidP="004101F8">
      <w:r>
        <w:t>Find the Consent and Moderation Requirements (</w:t>
      </w:r>
      <w:proofErr w:type="spellStart"/>
      <w:r>
        <w:t>CMR</w:t>
      </w:r>
      <w:proofErr w:type="spellEnd"/>
      <w:r>
        <w:t xml:space="preserve">) for unit/skill standards in ServiceIQ’s programmes on the NZQA website: </w:t>
      </w:r>
    </w:p>
    <w:p w14:paraId="44726603" w14:textId="77777777" w:rsidR="00D57EE6" w:rsidRDefault="00D57EE6" w:rsidP="00D57EE6">
      <w:pPr>
        <w:pStyle w:val="ListParagraph"/>
        <w:numPr>
          <w:ilvl w:val="0"/>
          <w:numId w:val="18"/>
        </w:numPr>
      </w:pPr>
      <w:hyperlink r:id="rId17" w:history="1">
        <w:proofErr w:type="spellStart"/>
        <w:r w:rsidRPr="00D57EE6">
          <w:rPr>
            <w:rStyle w:val="Hyperlink"/>
          </w:rPr>
          <w:t>CMR</w:t>
        </w:r>
        <w:proofErr w:type="spellEnd"/>
        <w:r w:rsidRPr="00D57EE6">
          <w:rPr>
            <w:rStyle w:val="Hyperlink"/>
          </w:rPr>
          <w:t xml:space="preserve"> 112</w:t>
        </w:r>
      </w:hyperlink>
      <w:r>
        <w:t xml:space="preserve"> (service sector units)</w:t>
      </w:r>
    </w:p>
    <w:p w14:paraId="1AF89B5B" w14:textId="77777777" w:rsidR="00D57EE6" w:rsidRDefault="00D57EE6" w:rsidP="00D57EE6">
      <w:pPr>
        <w:pStyle w:val="ListParagraph"/>
        <w:numPr>
          <w:ilvl w:val="0"/>
          <w:numId w:val="18"/>
        </w:numPr>
      </w:pPr>
      <w:hyperlink r:id="rId18" w:history="1">
        <w:proofErr w:type="spellStart"/>
        <w:r w:rsidRPr="00D57EE6">
          <w:rPr>
            <w:rStyle w:val="Hyperlink"/>
          </w:rPr>
          <w:t>CMR</w:t>
        </w:r>
        <w:proofErr w:type="spellEnd"/>
        <w:r w:rsidRPr="00D57EE6">
          <w:rPr>
            <w:rStyle w:val="Hyperlink"/>
          </w:rPr>
          <w:t xml:space="preserve"> 113</w:t>
        </w:r>
      </w:hyperlink>
      <w:r>
        <w:t xml:space="preserve"> (units 9677 and 7123)</w:t>
      </w:r>
    </w:p>
    <w:p w14:paraId="23BE38C3" w14:textId="2B0855B8" w:rsidR="00D57EE6" w:rsidRDefault="00D57EE6" w:rsidP="00D57EE6">
      <w:pPr>
        <w:pStyle w:val="ListParagraph"/>
        <w:numPr>
          <w:ilvl w:val="0"/>
          <w:numId w:val="18"/>
        </w:numPr>
      </w:pPr>
      <w:hyperlink r:id="rId19" w:history="1">
        <w:proofErr w:type="spellStart"/>
        <w:r w:rsidRPr="00D57EE6">
          <w:rPr>
            <w:rStyle w:val="Hyperlink"/>
          </w:rPr>
          <w:t>CMR</w:t>
        </w:r>
        <w:proofErr w:type="spellEnd"/>
        <w:r w:rsidRPr="00D57EE6">
          <w:rPr>
            <w:rStyle w:val="Hyperlink"/>
          </w:rPr>
          <w:t xml:space="preserve"> 226</w:t>
        </w:r>
      </w:hyperlink>
      <w:r>
        <w:t xml:space="preserve"> (</w:t>
      </w:r>
      <w:r w:rsidRPr="00D57EE6">
        <w:t>Manaaki Marae</w:t>
      </w:r>
      <w:r>
        <w:t xml:space="preserve"> &amp; </w:t>
      </w:r>
      <w:r w:rsidRPr="00D57EE6">
        <w:t>Tourism Māori</w:t>
      </w:r>
      <w:r>
        <w:t xml:space="preserve"> units)</w:t>
      </w:r>
    </w:p>
    <w:p w14:paraId="602A4B8D" w14:textId="79CD394D" w:rsidR="00661D3B" w:rsidRPr="007B4557" w:rsidRDefault="00661D3B" w:rsidP="004101F8">
      <w:pPr>
        <w:rPr>
          <w:b/>
          <w:bCs/>
        </w:rPr>
      </w:pPr>
      <w:r w:rsidRPr="007B4557">
        <w:rPr>
          <w:b/>
          <w:bCs/>
        </w:rPr>
        <w:t>Process:</w:t>
      </w:r>
    </w:p>
    <w:p w14:paraId="2681CC51" w14:textId="0EF5BA55" w:rsidR="00661D3B" w:rsidRDefault="00661D3B" w:rsidP="00661D3B">
      <w:pPr>
        <w:pStyle w:val="ListParagraph"/>
        <w:numPr>
          <w:ilvl w:val="0"/>
          <w:numId w:val="13"/>
        </w:numPr>
      </w:pPr>
      <w:r>
        <w:t xml:space="preserve">Download the </w:t>
      </w:r>
      <w:hyperlink r:id="rId20" w:history="1">
        <w:r w:rsidRPr="00661D3B">
          <w:rPr>
            <w:rStyle w:val="Hyperlink"/>
          </w:rPr>
          <w:t>Ringa Hora Consent to assess application form</w:t>
        </w:r>
      </w:hyperlink>
      <w:r w:rsidR="007B4557">
        <w:t>.</w:t>
      </w:r>
    </w:p>
    <w:p w14:paraId="4E8EC692" w14:textId="007940FA" w:rsidR="00661D3B" w:rsidRDefault="00661D3B" w:rsidP="007B4557">
      <w:pPr>
        <w:pStyle w:val="ListParagraph"/>
        <w:numPr>
          <w:ilvl w:val="0"/>
          <w:numId w:val="13"/>
        </w:numPr>
      </w:pPr>
      <w:r>
        <w:t>Fill out the form</w:t>
      </w:r>
      <w:r w:rsidR="007B4557">
        <w:t xml:space="preserve">. </w:t>
      </w:r>
      <w:r>
        <w:t xml:space="preserve">For assistance, refer to </w:t>
      </w:r>
      <w:hyperlink r:id="rId21" w:history="1">
        <w:r w:rsidRPr="00661D3B">
          <w:rPr>
            <w:rStyle w:val="Hyperlink"/>
          </w:rPr>
          <w:t>Ringa Hora’s guidance for schools</w:t>
        </w:r>
      </w:hyperlink>
      <w:r>
        <w:t xml:space="preserve"> and</w:t>
      </w:r>
      <w:r w:rsidR="007B4557">
        <w:t>/or</w:t>
      </w:r>
      <w:r>
        <w:t xml:space="preserve"> our suggestions below</w:t>
      </w:r>
      <w:r w:rsidR="007B4557">
        <w:t>.</w:t>
      </w:r>
    </w:p>
    <w:p w14:paraId="54B17D9E" w14:textId="46BE55FE" w:rsidR="00661D3B" w:rsidRDefault="00661D3B" w:rsidP="00661D3B">
      <w:pPr>
        <w:pStyle w:val="ListParagraph"/>
        <w:numPr>
          <w:ilvl w:val="0"/>
          <w:numId w:val="13"/>
        </w:numPr>
      </w:pPr>
      <w:r>
        <w:t>Email the completed form to Ringa Hora</w:t>
      </w:r>
      <w:r w:rsidR="007B4557">
        <w:t>.</w:t>
      </w:r>
      <w:r>
        <w:t xml:space="preserve"> </w:t>
      </w:r>
    </w:p>
    <w:p w14:paraId="2FCAC854" w14:textId="00D8BAE6" w:rsidR="007B4557" w:rsidRPr="00CA111E" w:rsidRDefault="007B4557" w:rsidP="007B4557">
      <w:pPr>
        <w:rPr>
          <w:b/>
          <w:bCs/>
        </w:rPr>
      </w:pPr>
      <w:r w:rsidRPr="00CA111E">
        <w:rPr>
          <w:b/>
          <w:bCs/>
        </w:rPr>
        <w:t>Suggestions for Consent to Assess Application</w:t>
      </w:r>
      <w:r w:rsidR="00CA111E" w:rsidRPr="00CA111E">
        <w:rPr>
          <w:b/>
          <w:bCs/>
        </w:rPr>
        <w:t xml:space="preserve">’s </w:t>
      </w:r>
      <w:r w:rsidRPr="00CA111E">
        <w:rPr>
          <w:b/>
          <w:bCs/>
        </w:rPr>
        <w:t xml:space="preserve">Criteria / Evidence </w:t>
      </w:r>
      <w:r w:rsidR="00CA111E" w:rsidRPr="00CA111E">
        <w:rPr>
          <w:b/>
          <w:bCs/>
        </w:rPr>
        <w:t>Section</w:t>
      </w:r>
    </w:p>
    <w:p w14:paraId="4B304459" w14:textId="2FE643FB" w:rsidR="007B4557" w:rsidRPr="007B4557" w:rsidRDefault="007B4557" w:rsidP="007B4557">
      <w:r w:rsidRPr="007B4557">
        <w:t>1. Development and evaluation of teaching systems</w:t>
      </w:r>
    </w:p>
    <w:p w14:paraId="3E9F3458" w14:textId="5AE7100C" w:rsidR="007B4557" w:rsidRDefault="007B4557" w:rsidP="007B4557">
      <w:pPr>
        <w:pStyle w:val="ListParagraph"/>
        <w:numPr>
          <w:ilvl w:val="0"/>
          <w:numId w:val="14"/>
        </w:numPr>
      </w:pPr>
      <w:r w:rsidRPr="007B4557">
        <w:t>Provide Assessment Schedule year plan for what you are going to offer for each year level.</w:t>
      </w:r>
    </w:p>
    <w:p w14:paraId="232702D8" w14:textId="77777777" w:rsidR="007B4557" w:rsidRDefault="007B4557" w:rsidP="007B4557">
      <w:pPr>
        <w:pStyle w:val="ListParagraph"/>
        <w:numPr>
          <w:ilvl w:val="0"/>
          <w:numId w:val="14"/>
        </w:numPr>
      </w:pPr>
      <w:r>
        <w:t>N</w:t>
      </w:r>
      <w:r w:rsidRPr="007B4557">
        <w:t>ames and details of industry contacts (what they do, email, phone) that support your program. People who could give advice, come in and talk to students or give them work experience. Think restaurants, cafes, caterers.</w:t>
      </w:r>
    </w:p>
    <w:p w14:paraId="31E396F6" w14:textId="77777777" w:rsidR="007B4557" w:rsidRDefault="007B4557" w:rsidP="007B4557">
      <w:pPr>
        <w:pStyle w:val="ListParagraph"/>
        <w:numPr>
          <w:ilvl w:val="0"/>
          <w:numId w:val="14"/>
        </w:numPr>
      </w:pPr>
      <w:r w:rsidRPr="007B4557">
        <w:t>Using ServiceIQ’s pre moderated resources and assessments.</w:t>
      </w:r>
    </w:p>
    <w:p w14:paraId="64FAFB17" w14:textId="0AF9F2C8" w:rsidR="007B4557" w:rsidRDefault="007B4557" w:rsidP="007B4557">
      <w:pPr>
        <w:pStyle w:val="ListParagraph"/>
        <w:numPr>
          <w:ilvl w:val="0"/>
          <w:numId w:val="14"/>
        </w:numPr>
      </w:pPr>
      <w:r w:rsidRPr="007B4557">
        <w:t>As above</w:t>
      </w:r>
    </w:p>
    <w:p w14:paraId="229E1C22" w14:textId="77777777" w:rsidR="007B4557" w:rsidRDefault="007B4557" w:rsidP="007B4557">
      <w:r>
        <w:lastRenderedPageBreak/>
        <w:t>2. Financial, administrative, and physical resources</w:t>
      </w:r>
    </w:p>
    <w:p w14:paraId="6680590A" w14:textId="77777777" w:rsidR="007B4557" w:rsidRDefault="007B4557" w:rsidP="007B4557">
      <w:pPr>
        <w:pStyle w:val="ListParagraph"/>
        <w:numPr>
          <w:ilvl w:val="0"/>
          <w:numId w:val="15"/>
        </w:numPr>
      </w:pPr>
      <w:r>
        <w:t>Photos of equipment and facilities.</w:t>
      </w:r>
    </w:p>
    <w:p w14:paraId="1FC48D4B" w14:textId="77777777" w:rsidR="007B4557" w:rsidRDefault="007B4557" w:rsidP="007B4557">
      <w:pPr>
        <w:pStyle w:val="ListParagraph"/>
        <w:numPr>
          <w:ilvl w:val="0"/>
          <w:numId w:val="15"/>
        </w:numPr>
      </w:pPr>
      <w:r>
        <w:t>Health and safety rules for kitchen</w:t>
      </w:r>
    </w:p>
    <w:p w14:paraId="2CB082AD" w14:textId="77777777" w:rsidR="007B4557" w:rsidRDefault="007B4557" w:rsidP="007B4557">
      <w:r>
        <w:t>3. Staff selection, appraisal, and development</w:t>
      </w:r>
    </w:p>
    <w:p w14:paraId="285612FD" w14:textId="77777777" w:rsidR="007B4557" w:rsidRDefault="007B4557" w:rsidP="007B4557">
      <w:r>
        <w:t xml:space="preserve">Provide a CV for each teacher who will assess the units. Show relevant industry experience, e.g., chef, cook, kitchen hand, waitress, caterer, café staff any time of your life, and include time periods. </w:t>
      </w:r>
    </w:p>
    <w:p w14:paraId="1A2C1FE9" w14:textId="4CDD66D6" w:rsidR="007B4557" w:rsidRDefault="007B4557" w:rsidP="007B4557">
      <w:r>
        <w:t>Teachers must have a recognised teaching qualification (US 4098 recommended) and:</w:t>
      </w:r>
    </w:p>
    <w:p w14:paraId="47A64770" w14:textId="21CFA238" w:rsidR="007B4557" w:rsidRDefault="007B4557" w:rsidP="007B4557">
      <w:pPr>
        <w:pStyle w:val="ListParagraph"/>
        <w:numPr>
          <w:ilvl w:val="0"/>
          <w:numId w:val="16"/>
        </w:numPr>
      </w:pPr>
      <w:r>
        <w:t>hold a recognised industry qualification at or above the level to be assessed, or can demonstrate equivalent knowledge and skills</w:t>
      </w:r>
    </w:p>
    <w:p w14:paraId="5634B95F" w14:textId="77777777" w:rsidR="007B4557" w:rsidRDefault="007B4557" w:rsidP="007B4557">
      <w:pPr>
        <w:pStyle w:val="ListParagraph"/>
        <w:numPr>
          <w:ilvl w:val="0"/>
          <w:numId w:val="16"/>
        </w:numPr>
      </w:pPr>
      <w:r>
        <w:t>have sufficient relevant industry experience, which is:</w:t>
      </w:r>
    </w:p>
    <w:p w14:paraId="062352F5" w14:textId="220A0F1C" w:rsidR="007B4557" w:rsidRDefault="007B4557" w:rsidP="00C94FE0">
      <w:pPr>
        <w:pStyle w:val="ListParagraph"/>
        <w:numPr>
          <w:ilvl w:val="1"/>
          <w:numId w:val="16"/>
        </w:numPr>
      </w:pPr>
      <w:r>
        <w:t xml:space="preserve">Level 2 – </w:t>
      </w:r>
      <w:bookmarkStart w:id="2" w:name="_Hlk195608322"/>
      <w:r>
        <w:t xml:space="preserve">1 year of relevant industry experience </w:t>
      </w:r>
      <w:bookmarkEnd w:id="2"/>
      <w:r>
        <w:t>and a relevant qualification, or 2 years of relevant industry experience</w:t>
      </w:r>
    </w:p>
    <w:p w14:paraId="1432263F" w14:textId="141F6748" w:rsidR="007B4557" w:rsidRDefault="007B4557" w:rsidP="002F7F11">
      <w:pPr>
        <w:pStyle w:val="ListParagraph"/>
        <w:numPr>
          <w:ilvl w:val="1"/>
          <w:numId w:val="16"/>
        </w:numPr>
      </w:pPr>
      <w:r>
        <w:t xml:space="preserve">Level 3 – </w:t>
      </w:r>
      <w:r w:rsidR="00CA111E">
        <w:t>3 years of relevant industry experience or equivalent knowledge and skills [note: an exemption to Level 3 requirements may be granted when Level 3 units are in a Level 2 programme]</w:t>
      </w:r>
    </w:p>
    <w:p w14:paraId="0BB6C720" w14:textId="77308CC0" w:rsidR="007B4557" w:rsidRDefault="007C1827" w:rsidP="007C1827">
      <w:r>
        <w:t>Provide the s</w:t>
      </w:r>
      <w:r w:rsidR="007B4557">
        <w:t>chool</w:t>
      </w:r>
      <w:r>
        <w:t>’s</w:t>
      </w:r>
      <w:r w:rsidR="007B4557">
        <w:t xml:space="preserve"> policy for teachers to receive regular upskilling</w:t>
      </w:r>
      <w:r>
        <w:t>, the h</w:t>
      </w:r>
      <w:r w:rsidR="007B4557">
        <w:t>ealth and safety policy</w:t>
      </w:r>
      <w:r>
        <w:t>, and the i</w:t>
      </w:r>
      <w:r w:rsidR="007B4557">
        <w:t>nternal moderation policy</w:t>
      </w:r>
      <w:r>
        <w:t>.</w:t>
      </w:r>
    </w:p>
    <w:p w14:paraId="52E287FB" w14:textId="77777777" w:rsidR="007B4557" w:rsidRDefault="007B4557" w:rsidP="007B4557">
      <w:r>
        <w:t>4. Student entry</w:t>
      </w:r>
    </w:p>
    <w:p w14:paraId="716015A3" w14:textId="126B1191" w:rsidR="00CA111E" w:rsidRDefault="007B4557" w:rsidP="007B4557">
      <w:r>
        <w:t>US 167 recommended</w:t>
      </w:r>
      <w:r w:rsidR="00CA111E">
        <w:t xml:space="preserve">. </w:t>
      </w:r>
      <w:r>
        <w:t xml:space="preserve">Use of knife care and handling training and general Health and Safety training provided with each standard taught. </w:t>
      </w:r>
    </w:p>
    <w:p w14:paraId="6A2A27B8" w14:textId="7E753430" w:rsidR="007B4557" w:rsidRDefault="007B4557" w:rsidP="007B4557">
      <w:r>
        <w:t>5. Student guidance and support systems</w:t>
      </w:r>
    </w:p>
    <w:p w14:paraId="4834DF7B" w14:textId="480B5ABE" w:rsidR="00CA111E" w:rsidRDefault="007B4557" w:rsidP="007B4557">
      <w:r>
        <w:t xml:space="preserve">Provide policies around student wellbeing, availability of </w:t>
      </w:r>
      <w:r w:rsidR="00CA111E">
        <w:t>counsellors</w:t>
      </w:r>
      <w:r>
        <w:t xml:space="preserve"> and anti-bullying culture. </w:t>
      </w:r>
    </w:p>
    <w:p w14:paraId="21FBB026" w14:textId="77777777" w:rsidR="00CA111E" w:rsidRDefault="007B4557" w:rsidP="007B4557">
      <w:r>
        <w:t>6. Off-site practical/work-based components</w:t>
      </w:r>
      <w:r w:rsidR="00CA111E">
        <w:t xml:space="preserve"> [</w:t>
      </w:r>
      <w:r>
        <w:t>Not applicable.</w:t>
      </w:r>
      <w:r w:rsidR="00CA111E">
        <w:t>]</w:t>
      </w:r>
      <w:r>
        <w:t xml:space="preserve"> </w:t>
      </w:r>
    </w:p>
    <w:p w14:paraId="074625FF" w14:textId="0C2FD499" w:rsidR="007B4557" w:rsidRDefault="007B4557" w:rsidP="007B4557">
      <w:r>
        <w:t>7. Assessment</w:t>
      </w:r>
    </w:p>
    <w:p w14:paraId="4C7BD7CD" w14:textId="6313CDED" w:rsidR="00CA111E" w:rsidRDefault="007B4557" w:rsidP="007B4557">
      <w:r>
        <w:t>Assessment conditions policies</w:t>
      </w:r>
      <w:r w:rsidR="00CA111E">
        <w:t xml:space="preserve"> including: </w:t>
      </w:r>
    </w:p>
    <w:p w14:paraId="7AC0A042" w14:textId="77777777" w:rsidR="007B4557" w:rsidRDefault="007B4557" w:rsidP="00CA111E">
      <w:pPr>
        <w:pStyle w:val="ListParagraph"/>
        <w:numPr>
          <w:ilvl w:val="0"/>
          <w:numId w:val="17"/>
        </w:numPr>
      </w:pPr>
      <w:r>
        <w:t>Assessment process, appeals, etc.</w:t>
      </w:r>
    </w:p>
    <w:p w14:paraId="50D37C49" w14:textId="6FEB1B74" w:rsidR="007B4557" w:rsidRDefault="00CA111E" w:rsidP="00CA111E">
      <w:pPr>
        <w:pStyle w:val="ListParagraph"/>
        <w:numPr>
          <w:ilvl w:val="0"/>
          <w:numId w:val="17"/>
        </w:numPr>
      </w:pPr>
      <w:r>
        <w:t>P</w:t>
      </w:r>
      <w:r w:rsidR="007B4557">
        <w:t xml:space="preserve">re-moderated resources and assessments </w:t>
      </w:r>
      <w:r>
        <w:t xml:space="preserve">from ServiceIQ </w:t>
      </w:r>
      <w:r w:rsidR="007B4557">
        <w:t>will be used.</w:t>
      </w:r>
    </w:p>
    <w:p w14:paraId="0541C931" w14:textId="77777777" w:rsidR="00CA111E" w:rsidRDefault="007B4557" w:rsidP="00CA111E">
      <w:pPr>
        <w:pStyle w:val="ListParagraph"/>
        <w:numPr>
          <w:ilvl w:val="0"/>
          <w:numId w:val="17"/>
        </w:numPr>
      </w:pPr>
      <w:r>
        <w:t xml:space="preserve">Yes, annual post moderation will be carried in accordance with Ringa Hora’s requirements. </w:t>
      </w:r>
    </w:p>
    <w:p w14:paraId="18EE669A" w14:textId="09CFD597" w:rsidR="007B4557" w:rsidRDefault="007B4557" w:rsidP="007B4557">
      <w:r>
        <w:t>8. Reporting</w:t>
      </w:r>
    </w:p>
    <w:p w14:paraId="288D327A" w14:textId="0CE2ED7A" w:rsidR="00BC1F88" w:rsidRPr="007B4557" w:rsidRDefault="007B4557" w:rsidP="007B4557">
      <w:r>
        <w:t xml:space="preserve">Reporting to NZQA procedures; internally moderated, </w:t>
      </w:r>
      <w:proofErr w:type="gramStart"/>
      <w:r>
        <w:t>entered into</w:t>
      </w:r>
      <w:proofErr w:type="gramEnd"/>
      <w:r>
        <w:t xml:space="preserve"> KAMAR, reported to NZQA.</w:t>
      </w:r>
      <w:r w:rsidR="00BC1F88" w:rsidRPr="007B4557">
        <w:br w:type="page"/>
      </w:r>
    </w:p>
    <w:p w14:paraId="1E0C280F" w14:textId="358EE3BA" w:rsidR="001B77E2" w:rsidRDefault="001B77E2" w:rsidP="001B77E2">
      <w:pPr>
        <w:pStyle w:val="Heading2"/>
      </w:pPr>
      <w:r w:rsidRPr="00BC1F88">
        <w:lastRenderedPageBreak/>
        <w:t xml:space="preserve">Part </w:t>
      </w:r>
      <w:r>
        <w:t>2: ServiceIQ</w:t>
      </w:r>
    </w:p>
    <w:p w14:paraId="4AA374DB" w14:textId="77777777" w:rsidR="001B77E2" w:rsidRDefault="001B77E2" w:rsidP="001B77E2">
      <w:r>
        <w:t>Contact ServiceIQ’s Quality Assurance team (</w:t>
      </w:r>
      <w:hyperlink r:id="rId22" w:history="1">
        <w:r w:rsidRPr="00271204">
          <w:rPr>
            <w:rStyle w:val="Hyperlink"/>
          </w:rPr>
          <w:t>quality@serviceiq.org.nz</w:t>
        </w:r>
      </w:hyperlink>
      <w:r>
        <w:t xml:space="preserve">) to request a letter of support to be submitted in support of the accreditation application to NZQA </w:t>
      </w:r>
      <w:r>
        <w:rPr>
          <w:color w:val="A02B93" w:themeColor="accent5"/>
        </w:rPr>
        <w:t>see s</w:t>
      </w:r>
      <w:r w:rsidRPr="00C14B08">
        <w:rPr>
          <w:color w:val="A02B93" w:themeColor="accent5"/>
        </w:rPr>
        <w:t>ample wording</w:t>
      </w:r>
      <w:r>
        <w:rPr>
          <w:color w:val="A02B93" w:themeColor="accent5"/>
        </w:rPr>
        <w:t xml:space="preserve"> in coloured text</w:t>
      </w:r>
    </w:p>
    <w:p w14:paraId="32538B9E" w14:textId="77777777" w:rsidR="001B77E2" w:rsidRDefault="001B77E2" w:rsidP="001B77E2">
      <w:pPr>
        <w:rPr>
          <w:color w:val="A02B93" w:themeColor="accent5"/>
          <w:highlight w:val="yellow"/>
        </w:rPr>
      </w:pPr>
    </w:p>
    <w:p w14:paraId="4FC5925D" w14:textId="15ECA3C5" w:rsidR="001B77E2" w:rsidRPr="001B77E2" w:rsidRDefault="001B77E2" w:rsidP="001B77E2">
      <w:pPr>
        <w:rPr>
          <w:color w:val="A02B93" w:themeColor="accent5"/>
        </w:rPr>
      </w:pPr>
      <w:r w:rsidRPr="001B77E2">
        <w:rPr>
          <w:color w:val="A02B93" w:themeColor="accent5"/>
          <w:highlight w:val="yellow"/>
        </w:rPr>
        <w:t>Date</w:t>
      </w:r>
    </w:p>
    <w:p w14:paraId="698CE588" w14:textId="77777777" w:rsidR="001B77E2" w:rsidRPr="001B77E2" w:rsidRDefault="001B77E2" w:rsidP="001B77E2">
      <w:pPr>
        <w:rPr>
          <w:color w:val="A02B93" w:themeColor="accent5"/>
        </w:rPr>
      </w:pPr>
      <w:r w:rsidRPr="001B77E2">
        <w:rPr>
          <w:color w:val="A02B93" w:themeColor="accent5"/>
        </w:rPr>
        <w:t>Re: Letter of support from ServiceIQ for accreditation application</w:t>
      </w:r>
    </w:p>
    <w:p w14:paraId="5D4E73E3" w14:textId="77777777" w:rsidR="001B77E2" w:rsidRPr="001B77E2" w:rsidRDefault="001B77E2" w:rsidP="001B77E2">
      <w:pPr>
        <w:rPr>
          <w:color w:val="A02B93" w:themeColor="accent5"/>
        </w:rPr>
      </w:pPr>
      <w:r w:rsidRPr="001B77E2">
        <w:rPr>
          <w:color w:val="A02B93" w:themeColor="accent5"/>
          <w:highlight w:val="yellow"/>
        </w:rPr>
        <w:t>Programme - either NZ Certificate of Hospitality or NZ Certificate in Tourism (Introductory Skills)</w:t>
      </w:r>
    </w:p>
    <w:p w14:paraId="25C0B15F" w14:textId="77777777" w:rsidR="001B77E2" w:rsidRPr="001B77E2" w:rsidRDefault="001B77E2" w:rsidP="001B77E2">
      <w:pPr>
        <w:rPr>
          <w:color w:val="A02B93" w:themeColor="accent5"/>
        </w:rPr>
      </w:pPr>
      <w:r w:rsidRPr="001B77E2">
        <w:rPr>
          <w:color w:val="A02B93" w:themeColor="accent5"/>
        </w:rPr>
        <w:t>This request includes the following:</w:t>
      </w:r>
    </w:p>
    <w:p w14:paraId="6C613E2F" w14:textId="77777777" w:rsidR="001B77E2" w:rsidRPr="001B77E2" w:rsidRDefault="001B77E2" w:rsidP="001B77E2">
      <w:pPr>
        <w:pStyle w:val="ListParagraph"/>
        <w:numPr>
          <w:ilvl w:val="0"/>
          <w:numId w:val="19"/>
        </w:numPr>
        <w:rPr>
          <w:color w:val="A02B93" w:themeColor="accent5"/>
        </w:rPr>
      </w:pPr>
      <w:r w:rsidRPr="001B77E2">
        <w:rPr>
          <w:color w:val="A02B93" w:themeColor="accent5"/>
        </w:rPr>
        <w:t>A list of unit/skill standards to be delivered</w:t>
      </w:r>
    </w:p>
    <w:p w14:paraId="699B8583" w14:textId="77777777" w:rsidR="001B77E2" w:rsidRPr="001B77E2" w:rsidRDefault="001B77E2" w:rsidP="001B77E2">
      <w:pPr>
        <w:pStyle w:val="ListParagraph"/>
        <w:numPr>
          <w:ilvl w:val="0"/>
          <w:numId w:val="19"/>
        </w:numPr>
        <w:rPr>
          <w:color w:val="A02B93" w:themeColor="accent5"/>
        </w:rPr>
      </w:pPr>
      <w:r w:rsidRPr="001B77E2">
        <w:rPr>
          <w:color w:val="A02B93" w:themeColor="accent5"/>
        </w:rPr>
        <w:t xml:space="preserve">Information about assessments to be used (whether </w:t>
      </w:r>
      <w:proofErr w:type="spellStart"/>
      <w:r w:rsidRPr="001B77E2">
        <w:rPr>
          <w:color w:val="A02B93" w:themeColor="accent5"/>
        </w:rPr>
        <w:t>ServicelQ</w:t>
      </w:r>
      <w:proofErr w:type="spellEnd"/>
      <w:r w:rsidRPr="001B77E2">
        <w:rPr>
          <w:color w:val="A02B93" w:themeColor="accent5"/>
        </w:rPr>
        <w:t xml:space="preserve"> or other) and confirmation that all assessments have been or will be pre-moderated by Ringa Hora or relevant Workforce Development Council (WDC) before use</w:t>
      </w:r>
    </w:p>
    <w:p w14:paraId="0E5DD6EC" w14:textId="77777777" w:rsidR="001B77E2" w:rsidRPr="001B77E2" w:rsidRDefault="001B77E2" w:rsidP="001B77E2">
      <w:pPr>
        <w:rPr>
          <w:b/>
          <w:bCs/>
          <w:color w:val="A02B93" w:themeColor="accent5"/>
        </w:rPr>
      </w:pPr>
      <w:r w:rsidRPr="001B77E2">
        <w:rPr>
          <w:b/>
          <w:bCs/>
          <w:color w:val="A02B93" w:themeColor="accent5"/>
        </w:rPr>
        <w:t>Unit/skill standards to be delivered</w:t>
      </w:r>
    </w:p>
    <w:tbl>
      <w:tblPr>
        <w:tblStyle w:val="TableGrid"/>
        <w:tblW w:w="0" w:type="auto"/>
        <w:tblLook w:val="04A0" w:firstRow="1" w:lastRow="0" w:firstColumn="1" w:lastColumn="0" w:noHBand="0" w:noVBand="1"/>
      </w:tblPr>
      <w:tblGrid>
        <w:gridCol w:w="3005"/>
        <w:gridCol w:w="3005"/>
        <w:gridCol w:w="3006"/>
      </w:tblGrid>
      <w:tr w:rsidR="001B77E2" w:rsidRPr="001B77E2" w14:paraId="4CDE3E29" w14:textId="77777777" w:rsidTr="00702426">
        <w:tc>
          <w:tcPr>
            <w:tcW w:w="3005" w:type="dxa"/>
          </w:tcPr>
          <w:p w14:paraId="410AD787" w14:textId="77777777" w:rsidR="001B77E2" w:rsidRPr="001B77E2" w:rsidRDefault="001B77E2" w:rsidP="00702426">
            <w:pPr>
              <w:rPr>
                <w:color w:val="A02B93" w:themeColor="accent5"/>
                <w:highlight w:val="yellow"/>
              </w:rPr>
            </w:pPr>
            <w:r w:rsidRPr="001B77E2">
              <w:rPr>
                <w:color w:val="A02B93" w:themeColor="accent5"/>
                <w:highlight w:val="yellow"/>
              </w:rPr>
              <w:t>US #####</w:t>
            </w:r>
          </w:p>
        </w:tc>
        <w:tc>
          <w:tcPr>
            <w:tcW w:w="3005" w:type="dxa"/>
          </w:tcPr>
          <w:p w14:paraId="57FB2DEF" w14:textId="77777777" w:rsidR="001B77E2" w:rsidRPr="001B77E2" w:rsidRDefault="001B77E2" w:rsidP="00702426">
            <w:pPr>
              <w:rPr>
                <w:color w:val="A02B93" w:themeColor="accent5"/>
                <w:highlight w:val="yellow"/>
              </w:rPr>
            </w:pPr>
            <w:r w:rsidRPr="001B77E2">
              <w:rPr>
                <w:color w:val="A02B93" w:themeColor="accent5"/>
                <w:highlight w:val="yellow"/>
              </w:rPr>
              <w:t># credits</w:t>
            </w:r>
          </w:p>
        </w:tc>
        <w:tc>
          <w:tcPr>
            <w:tcW w:w="3006" w:type="dxa"/>
          </w:tcPr>
          <w:p w14:paraId="5A1E0622" w14:textId="77777777" w:rsidR="001B77E2" w:rsidRPr="001B77E2" w:rsidRDefault="001B77E2" w:rsidP="00702426">
            <w:pPr>
              <w:rPr>
                <w:color w:val="A02B93" w:themeColor="accent5"/>
                <w:highlight w:val="yellow"/>
              </w:rPr>
            </w:pPr>
            <w:r w:rsidRPr="001B77E2">
              <w:rPr>
                <w:color w:val="A02B93" w:themeColor="accent5"/>
                <w:highlight w:val="yellow"/>
              </w:rPr>
              <w:t>US title</w:t>
            </w:r>
          </w:p>
        </w:tc>
      </w:tr>
      <w:tr w:rsidR="001B77E2" w:rsidRPr="001B77E2" w14:paraId="5290D14D" w14:textId="77777777" w:rsidTr="00702426">
        <w:tc>
          <w:tcPr>
            <w:tcW w:w="3005" w:type="dxa"/>
          </w:tcPr>
          <w:p w14:paraId="050395BF" w14:textId="77777777" w:rsidR="001B77E2" w:rsidRPr="001B77E2" w:rsidRDefault="001B77E2" w:rsidP="00702426">
            <w:pPr>
              <w:rPr>
                <w:color w:val="A02B93" w:themeColor="accent5"/>
                <w:highlight w:val="yellow"/>
              </w:rPr>
            </w:pPr>
            <w:r w:rsidRPr="001B77E2">
              <w:rPr>
                <w:color w:val="A02B93" w:themeColor="accent5"/>
                <w:highlight w:val="yellow"/>
              </w:rPr>
              <w:t>US #####</w:t>
            </w:r>
          </w:p>
        </w:tc>
        <w:tc>
          <w:tcPr>
            <w:tcW w:w="3005" w:type="dxa"/>
          </w:tcPr>
          <w:p w14:paraId="7594749C" w14:textId="77777777" w:rsidR="001B77E2" w:rsidRPr="001B77E2" w:rsidRDefault="001B77E2" w:rsidP="00702426">
            <w:pPr>
              <w:rPr>
                <w:color w:val="A02B93" w:themeColor="accent5"/>
                <w:highlight w:val="yellow"/>
              </w:rPr>
            </w:pPr>
            <w:r w:rsidRPr="001B77E2">
              <w:rPr>
                <w:color w:val="A02B93" w:themeColor="accent5"/>
                <w:highlight w:val="yellow"/>
              </w:rPr>
              <w:t># credits</w:t>
            </w:r>
          </w:p>
        </w:tc>
        <w:tc>
          <w:tcPr>
            <w:tcW w:w="3006" w:type="dxa"/>
          </w:tcPr>
          <w:p w14:paraId="5B4A75AA" w14:textId="77777777" w:rsidR="001B77E2" w:rsidRPr="001B77E2" w:rsidRDefault="001B77E2" w:rsidP="00702426">
            <w:pPr>
              <w:rPr>
                <w:color w:val="A02B93" w:themeColor="accent5"/>
                <w:highlight w:val="yellow"/>
              </w:rPr>
            </w:pPr>
            <w:r w:rsidRPr="001B77E2">
              <w:rPr>
                <w:color w:val="A02B93" w:themeColor="accent5"/>
                <w:highlight w:val="yellow"/>
              </w:rPr>
              <w:t>US title</w:t>
            </w:r>
          </w:p>
        </w:tc>
      </w:tr>
    </w:tbl>
    <w:p w14:paraId="18BA48F2" w14:textId="77777777" w:rsidR="001B77E2" w:rsidRPr="001B77E2" w:rsidRDefault="001B77E2" w:rsidP="001B77E2">
      <w:pPr>
        <w:rPr>
          <w:color w:val="A02B93" w:themeColor="accent5"/>
        </w:rPr>
      </w:pPr>
    </w:p>
    <w:p w14:paraId="3D8D3AD0" w14:textId="77777777" w:rsidR="001B77E2" w:rsidRPr="001B77E2" w:rsidRDefault="001B77E2" w:rsidP="001B77E2">
      <w:pPr>
        <w:rPr>
          <w:b/>
          <w:bCs/>
          <w:color w:val="A02B93" w:themeColor="accent5"/>
        </w:rPr>
      </w:pPr>
      <w:r w:rsidRPr="001B77E2">
        <w:rPr>
          <w:b/>
          <w:bCs/>
          <w:color w:val="A02B93" w:themeColor="accent5"/>
        </w:rPr>
        <w:t>Assessments to be used</w:t>
      </w:r>
    </w:p>
    <w:p w14:paraId="6E1621AA" w14:textId="77777777" w:rsidR="001B77E2" w:rsidRPr="001B77E2" w:rsidRDefault="001B77E2" w:rsidP="001B77E2">
      <w:pPr>
        <w:rPr>
          <w:color w:val="A02B93" w:themeColor="accent5"/>
        </w:rPr>
      </w:pPr>
      <w:r w:rsidRPr="001B77E2">
        <w:rPr>
          <w:color w:val="A02B93" w:themeColor="accent5"/>
        </w:rPr>
        <w:t xml:space="preserve">All assessments used in the programme will be written by </w:t>
      </w:r>
      <w:r w:rsidRPr="001B77E2">
        <w:rPr>
          <w:color w:val="A02B93" w:themeColor="accent5"/>
          <w:highlight w:val="yellow"/>
        </w:rPr>
        <w:t>[Service IQ or other provider]</w:t>
      </w:r>
      <w:r w:rsidRPr="001B77E2">
        <w:rPr>
          <w:color w:val="A02B93" w:themeColor="accent5"/>
        </w:rPr>
        <w:t>. All assessments will be pre-moderated and approved before use in the programme.</w:t>
      </w:r>
    </w:p>
    <w:p w14:paraId="1F1D91D8" w14:textId="5676D233" w:rsidR="001B77E2" w:rsidRDefault="001B77E2">
      <w:pPr>
        <w:rPr>
          <w:rFonts w:asciiTheme="majorHAnsi" w:eastAsiaTheme="majorEastAsia" w:hAnsiTheme="majorHAnsi" w:cstheme="majorBidi"/>
          <w:color w:val="0F4761" w:themeColor="accent1" w:themeShade="BF"/>
          <w:sz w:val="32"/>
          <w:szCs w:val="32"/>
        </w:rPr>
      </w:pPr>
      <w:r>
        <w:br w:type="page"/>
      </w:r>
    </w:p>
    <w:p w14:paraId="35C1EA5C" w14:textId="4E5A2307" w:rsidR="00BC1F88" w:rsidRDefault="00BC1F88" w:rsidP="00BC1F88">
      <w:pPr>
        <w:pStyle w:val="Heading2"/>
      </w:pPr>
      <w:r w:rsidRPr="00BC1F88">
        <w:lastRenderedPageBreak/>
        <w:t xml:space="preserve">Part </w:t>
      </w:r>
      <w:r w:rsidR="001B77E2">
        <w:t>3</w:t>
      </w:r>
      <w:r>
        <w:t xml:space="preserve">: </w:t>
      </w:r>
      <w:r w:rsidR="001B77E2">
        <w:t>NZQA</w:t>
      </w:r>
    </w:p>
    <w:p w14:paraId="45F191C2" w14:textId="77777777" w:rsidR="00BC1F88" w:rsidRPr="004101F8" w:rsidRDefault="00BC1F88" w:rsidP="004101F8"/>
    <w:bookmarkEnd w:id="0"/>
    <w:p w14:paraId="21A66D2C" w14:textId="234D6B26" w:rsidR="00256DEB" w:rsidRDefault="00256DEB" w:rsidP="004101F8">
      <w:pPr>
        <w:pStyle w:val="ListParagraph"/>
        <w:numPr>
          <w:ilvl w:val="0"/>
          <w:numId w:val="2"/>
        </w:numPr>
        <w:ind w:left="360"/>
      </w:pPr>
      <w:r w:rsidRPr="00256DEB">
        <w:t>Log in to providers portal</w:t>
      </w:r>
      <w:r>
        <w:t xml:space="preserve">: </w:t>
      </w:r>
      <w:hyperlink r:id="rId23" w:history="1">
        <w:r w:rsidRPr="00E80406">
          <w:rPr>
            <w:rStyle w:val="Hyperlink"/>
          </w:rPr>
          <w:t>https://taku.nzqa.govt.nz/auth/teacherlogin</w:t>
        </w:r>
      </w:hyperlink>
    </w:p>
    <w:p w14:paraId="1A03EAA5" w14:textId="37ED2A44" w:rsidR="00D96306" w:rsidRPr="00D96306" w:rsidRDefault="00D96306" w:rsidP="004101F8">
      <w:pPr>
        <w:pStyle w:val="ListParagraph"/>
        <w:numPr>
          <w:ilvl w:val="0"/>
          <w:numId w:val="2"/>
        </w:numPr>
        <w:ind w:left="360"/>
      </w:pPr>
      <w:r>
        <w:rPr>
          <w:sz w:val="25"/>
        </w:rPr>
        <w:t>Go</w:t>
      </w:r>
      <w:r>
        <w:rPr>
          <w:spacing w:val="-12"/>
          <w:sz w:val="25"/>
        </w:rPr>
        <w:t xml:space="preserve"> </w:t>
      </w:r>
      <w:r>
        <w:rPr>
          <w:sz w:val="25"/>
        </w:rPr>
        <w:t>to</w:t>
      </w:r>
      <w:r>
        <w:rPr>
          <w:spacing w:val="-12"/>
          <w:sz w:val="25"/>
        </w:rPr>
        <w:t xml:space="preserve"> </w:t>
      </w:r>
      <w:r>
        <w:rPr>
          <w:sz w:val="25"/>
        </w:rPr>
        <w:t>School</w:t>
      </w:r>
      <w:r>
        <w:rPr>
          <w:spacing w:val="-11"/>
          <w:sz w:val="25"/>
        </w:rPr>
        <w:t xml:space="preserve"> </w:t>
      </w:r>
      <w:r>
        <w:rPr>
          <w:sz w:val="25"/>
        </w:rPr>
        <w:t>administration</w:t>
      </w:r>
      <w:r>
        <w:rPr>
          <w:spacing w:val="-12"/>
          <w:sz w:val="25"/>
        </w:rPr>
        <w:t xml:space="preserve"> </w:t>
      </w:r>
      <w:r>
        <w:rPr>
          <w:sz w:val="25"/>
        </w:rPr>
        <w:t>&gt;</w:t>
      </w:r>
      <w:r>
        <w:rPr>
          <w:spacing w:val="-11"/>
          <w:sz w:val="25"/>
        </w:rPr>
        <w:t xml:space="preserve"> </w:t>
      </w:r>
      <w:r>
        <w:rPr>
          <w:sz w:val="25"/>
        </w:rPr>
        <w:t>Open</w:t>
      </w:r>
      <w:r>
        <w:rPr>
          <w:spacing w:val="-12"/>
          <w:sz w:val="25"/>
        </w:rPr>
        <w:t xml:space="preserve"> </w:t>
      </w:r>
      <w:r>
        <w:rPr>
          <w:sz w:val="25"/>
        </w:rPr>
        <w:t>Application</w:t>
      </w:r>
      <w:r>
        <w:rPr>
          <w:spacing w:val="-12"/>
          <w:sz w:val="25"/>
        </w:rPr>
        <w:t xml:space="preserve"> </w:t>
      </w:r>
      <w:r>
        <w:rPr>
          <w:sz w:val="25"/>
        </w:rPr>
        <w:t>&gt;</w:t>
      </w:r>
      <w:r>
        <w:rPr>
          <w:spacing w:val="-11"/>
          <w:sz w:val="25"/>
        </w:rPr>
        <w:t xml:space="preserve"> </w:t>
      </w:r>
      <w:r>
        <w:rPr>
          <w:sz w:val="25"/>
        </w:rPr>
        <w:t>Create</w:t>
      </w:r>
      <w:r>
        <w:rPr>
          <w:spacing w:val="-12"/>
          <w:sz w:val="25"/>
        </w:rPr>
        <w:t xml:space="preserve"> </w:t>
      </w:r>
      <w:r>
        <w:rPr>
          <w:spacing w:val="-2"/>
          <w:sz w:val="25"/>
        </w:rPr>
        <w:t>application</w:t>
      </w:r>
    </w:p>
    <w:p w14:paraId="48DC3A63" w14:textId="77777777" w:rsidR="00D96306" w:rsidRDefault="00D96306" w:rsidP="004101F8">
      <w:pPr>
        <w:pStyle w:val="ListParagraph"/>
        <w:numPr>
          <w:ilvl w:val="0"/>
          <w:numId w:val="2"/>
        </w:numPr>
        <w:ind w:left="360"/>
      </w:pPr>
      <w:r>
        <w:t>Select Programme accreditation</w:t>
      </w:r>
    </w:p>
    <w:p w14:paraId="25DE43C8" w14:textId="43B8C387" w:rsidR="00D96306" w:rsidRDefault="00D96306" w:rsidP="004101F8">
      <w:pPr>
        <w:pStyle w:val="ListParagraph"/>
        <w:numPr>
          <w:ilvl w:val="0"/>
          <w:numId w:val="2"/>
        </w:numPr>
        <w:ind w:left="360"/>
      </w:pPr>
      <w:r>
        <w:t>Fill out the online application form with these sections:</w:t>
      </w:r>
    </w:p>
    <w:p w14:paraId="1182246F" w14:textId="77777777" w:rsidR="00D96306" w:rsidRDefault="00D96306" w:rsidP="00D96306"/>
    <w:p w14:paraId="0D5369CB" w14:textId="2E79CB89" w:rsidR="00D96306" w:rsidRDefault="00D96306" w:rsidP="00D96306">
      <w:pPr>
        <w:pStyle w:val="Heading3"/>
      </w:pPr>
      <w:r>
        <w:t>Contact details</w:t>
      </w:r>
    </w:p>
    <w:p w14:paraId="540E5B81" w14:textId="77777777" w:rsidR="00D96306" w:rsidRDefault="00D96306" w:rsidP="00D96306">
      <w:pPr>
        <w:pStyle w:val="ListParagraph"/>
        <w:numPr>
          <w:ilvl w:val="0"/>
          <w:numId w:val="6"/>
        </w:numPr>
      </w:pPr>
      <w:r>
        <w:t>Enter the key contact person’s details</w:t>
      </w:r>
    </w:p>
    <w:p w14:paraId="3CE63C2C" w14:textId="77777777" w:rsidR="00D96306" w:rsidRPr="00D96306" w:rsidRDefault="00D96306" w:rsidP="00D96306">
      <w:pPr>
        <w:rPr>
          <w:rFonts w:eastAsiaTheme="majorEastAsia" w:cstheme="majorBidi"/>
          <w:color w:val="0F4761" w:themeColor="accent1" w:themeShade="BF"/>
          <w:sz w:val="28"/>
          <w:szCs w:val="28"/>
        </w:rPr>
      </w:pPr>
      <w:r w:rsidRPr="00D96306">
        <w:rPr>
          <w:rFonts w:eastAsiaTheme="majorEastAsia" w:cstheme="majorBidi"/>
          <w:color w:val="0F4761" w:themeColor="accent1" w:themeShade="BF"/>
          <w:sz w:val="28"/>
          <w:szCs w:val="28"/>
        </w:rPr>
        <w:t>Approved New Zealand Programme overview</w:t>
      </w:r>
    </w:p>
    <w:p w14:paraId="679F2BB0" w14:textId="77777777" w:rsidR="00D96306" w:rsidRDefault="00D96306" w:rsidP="00D96306">
      <w:pPr>
        <w:pStyle w:val="ListParagraph"/>
        <w:numPr>
          <w:ilvl w:val="0"/>
          <w:numId w:val="6"/>
        </w:numPr>
      </w:pPr>
      <w:r>
        <w:t>Enter the appropriate ServiceIQ programme:</w:t>
      </w:r>
    </w:p>
    <w:p w14:paraId="605BF89F" w14:textId="371C88C2" w:rsidR="00D96306" w:rsidRDefault="00D96306" w:rsidP="00D96306">
      <w:pPr>
        <w:pStyle w:val="ListParagraph"/>
        <w:numPr>
          <w:ilvl w:val="0"/>
          <w:numId w:val="7"/>
        </w:numPr>
      </w:pPr>
      <w:r>
        <w:t>NZ Certificate in Tourism L2 programme ID# 120312</w:t>
      </w:r>
      <w:r w:rsidR="005A5A01">
        <w:t>-3</w:t>
      </w:r>
    </w:p>
    <w:p w14:paraId="435DC500" w14:textId="7F0B0607" w:rsidR="00D96306" w:rsidRDefault="00D96306" w:rsidP="00D96306">
      <w:pPr>
        <w:pStyle w:val="ListParagraph"/>
        <w:numPr>
          <w:ilvl w:val="0"/>
          <w:numId w:val="7"/>
        </w:numPr>
      </w:pPr>
      <w:r>
        <w:t>NZ Certificate in Hospitality L2 programme ID# 124652</w:t>
      </w:r>
      <w:r w:rsidR="005A5A01">
        <w:t>-3</w:t>
      </w:r>
    </w:p>
    <w:p w14:paraId="7182C63A" w14:textId="77777777" w:rsidR="00D96306" w:rsidRDefault="00D96306" w:rsidP="00D96306">
      <w:r w:rsidRPr="00D96306">
        <w:rPr>
          <w:rFonts w:eastAsiaTheme="majorEastAsia" w:cstheme="majorBidi"/>
          <w:color w:val="0F4761" w:themeColor="accent1" w:themeShade="BF"/>
          <w:sz w:val="28"/>
          <w:szCs w:val="28"/>
        </w:rPr>
        <w:t>Delivery and assessment</w:t>
      </w:r>
      <w:r>
        <w:t xml:space="preserve">. </w:t>
      </w:r>
    </w:p>
    <w:p w14:paraId="730A15A9" w14:textId="526B17F4" w:rsidR="00D96306" w:rsidRDefault="00D96306" w:rsidP="00D96306">
      <w:pPr>
        <w:pStyle w:val="ListParagraph"/>
        <w:numPr>
          <w:ilvl w:val="0"/>
          <w:numId w:val="5"/>
        </w:numPr>
      </w:pPr>
      <w:r>
        <w:t>Choose Face-to-face mode</w:t>
      </w:r>
    </w:p>
    <w:p w14:paraId="159FBC6C" w14:textId="77777777" w:rsidR="00D96306" w:rsidRPr="00D96306" w:rsidRDefault="00D96306" w:rsidP="00D96306">
      <w:pPr>
        <w:rPr>
          <w:rFonts w:eastAsiaTheme="majorEastAsia" w:cstheme="majorBidi"/>
          <w:color w:val="0F4761" w:themeColor="accent1" w:themeShade="BF"/>
          <w:sz w:val="28"/>
          <w:szCs w:val="28"/>
        </w:rPr>
      </w:pPr>
      <w:r w:rsidRPr="00D96306">
        <w:rPr>
          <w:rFonts w:eastAsiaTheme="majorEastAsia" w:cstheme="majorBidi"/>
          <w:color w:val="0F4761" w:themeColor="accent1" w:themeShade="BF"/>
          <w:sz w:val="28"/>
          <w:szCs w:val="28"/>
        </w:rPr>
        <w:t>Assessment standards</w:t>
      </w:r>
    </w:p>
    <w:p w14:paraId="2C0C2F16" w14:textId="66264D7E" w:rsidR="00D96306" w:rsidRDefault="00D96306" w:rsidP="00D96306">
      <w:pPr>
        <w:pStyle w:val="ListParagraph"/>
        <w:numPr>
          <w:ilvl w:val="0"/>
          <w:numId w:val="4"/>
        </w:numPr>
      </w:pPr>
      <w:r>
        <w:t xml:space="preserve">List all </w:t>
      </w:r>
      <w:r w:rsidR="00CA111E">
        <w:t>unit/skill</w:t>
      </w:r>
      <w:r>
        <w:t xml:space="preserve"> standards</w:t>
      </w:r>
      <w:r w:rsidR="005B132B">
        <w:t xml:space="preserve"> you plan to deliver</w:t>
      </w:r>
    </w:p>
    <w:p w14:paraId="6A772D24" w14:textId="77777777" w:rsidR="00D96306" w:rsidRDefault="00D96306" w:rsidP="00D96306">
      <w:pPr>
        <w:pStyle w:val="ListParagraph"/>
        <w:numPr>
          <w:ilvl w:val="0"/>
          <w:numId w:val="4"/>
        </w:numPr>
      </w:pPr>
      <w:r>
        <w:t>At the end check the box (optional) if proposed programme leads to one of the registration types</w:t>
      </w:r>
    </w:p>
    <w:p w14:paraId="4F67E62B" w14:textId="77777777" w:rsidR="00D96306" w:rsidRDefault="00D96306" w:rsidP="00D96306">
      <w:r w:rsidRPr="00D96306">
        <w:rPr>
          <w:rFonts w:eastAsiaTheme="majorEastAsia" w:cstheme="majorBidi"/>
          <w:color w:val="0F4761" w:themeColor="accent1" w:themeShade="BF"/>
          <w:sz w:val="28"/>
          <w:szCs w:val="28"/>
        </w:rPr>
        <w:t>Qualifications</w:t>
      </w:r>
    </w:p>
    <w:p w14:paraId="5FF5E034" w14:textId="77777777" w:rsidR="00D96306" w:rsidRDefault="00D96306" w:rsidP="00D96306">
      <w:pPr>
        <w:pStyle w:val="ListParagraph"/>
        <w:numPr>
          <w:ilvl w:val="0"/>
          <w:numId w:val="8"/>
        </w:numPr>
      </w:pPr>
      <w:r>
        <w:t>Identify the appropriate NZQA qualification:</w:t>
      </w:r>
    </w:p>
    <w:p w14:paraId="76A709E6" w14:textId="42E3D2A9" w:rsidR="00D96306" w:rsidRDefault="00D96306" w:rsidP="00D96306">
      <w:pPr>
        <w:pStyle w:val="ListParagraph"/>
        <w:numPr>
          <w:ilvl w:val="0"/>
          <w:numId w:val="9"/>
        </w:numPr>
      </w:pPr>
      <w:r>
        <w:t>New Zealand Certificate in Tourism L2 (Ref 2198)</w:t>
      </w:r>
    </w:p>
    <w:p w14:paraId="0133A2B0" w14:textId="01498077" w:rsidR="00D96306" w:rsidRDefault="00D96306" w:rsidP="00D96306">
      <w:pPr>
        <w:pStyle w:val="ListParagraph"/>
        <w:numPr>
          <w:ilvl w:val="0"/>
          <w:numId w:val="9"/>
        </w:numPr>
      </w:pPr>
      <w:r>
        <w:t>New Zealand Certificate in Hospitality L2 (Ref 2108)</w:t>
      </w:r>
    </w:p>
    <w:p w14:paraId="1AE62027" w14:textId="77777777" w:rsidR="00D96306" w:rsidRDefault="00D96306" w:rsidP="00D96306">
      <w:r w:rsidRPr="00D96306">
        <w:rPr>
          <w:rFonts w:eastAsiaTheme="majorEastAsia" w:cstheme="majorBidi"/>
          <w:color w:val="0F4761" w:themeColor="accent1" w:themeShade="BF"/>
          <w:sz w:val="28"/>
          <w:szCs w:val="28"/>
        </w:rPr>
        <w:t>Programme documents &amp; Supporting documents</w:t>
      </w:r>
      <w:r>
        <w:t xml:space="preserve"> </w:t>
      </w:r>
    </w:p>
    <w:p w14:paraId="6616EA37" w14:textId="4D301301" w:rsidR="00D96306" w:rsidRDefault="00D96306" w:rsidP="00E841F5">
      <w:pPr>
        <w:pStyle w:val="ListParagraph"/>
        <w:numPr>
          <w:ilvl w:val="0"/>
          <w:numId w:val="10"/>
        </w:numPr>
      </w:pPr>
      <w:r>
        <w:t>Upload documents including programme document</w:t>
      </w:r>
      <w:r w:rsidR="01D98354">
        <w:t xml:space="preserve"> and</w:t>
      </w:r>
      <w:r w:rsidR="5516CCFA">
        <w:t xml:space="preserve"> letter of support</w:t>
      </w:r>
      <w:r w:rsidR="76C47133">
        <w:t xml:space="preserve"> (from ServiceIQ)</w:t>
      </w:r>
      <w:r>
        <w:t xml:space="preserve"> and evidence of consent to assess assessment standards in programme</w:t>
      </w:r>
    </w:p>
    <w:p w14:paraId="18243F06" w14:textId="77777777" w:rsidR="00D96306" w:rsidRDefault="00D96306" w:rsidP="00D96306">
      <w:r w:rsidRPr="00D96306">
        <w:rPr>
          <w:rFonts w:eastAsiaTheme="majorEastAsia" w:cstheme="majorBidi"/>
          <w:color w:val="0F4761" w:themeColor="accent1" w:themeShade="BF"/>
          <w:sz w:val="28"/>
          <w:szCs w:val="28"/>
        </w:rPr>
        <w:t>Submit</w:t>
      </w:r>
    </w:p>
    <w:p w14:paraId="1D1E9142" w14:textId="3E25A388" w:rsidR="00CA111E" w:rsidRDefault="00D96306" w:rsidP="00CA111E">
      <w:pPr>
        <w:pStyle w:val="ListParagraph"/>
        <w:numPr>
          <w:ilvl w:val="0"/>
          <w:numId w:val="10"/>
        </w:numPr>
      </w:pPr>
      <w:r>
        <w:t>After you submit, you'll receive an email with a reference number. Include this in all correspondence with NZQA.</w:t>
      </w:r>
    </w:p>
    <w:p w14:paraId="44FF5C37" w14:textId="77777777" w:rsidR="00CA111E" w:rsidRDefault="00CA111E">
      <w:r>
        <w:br w:type="page"/>
      </w:r>
    </w:p>
    <w:p w14:paraId="6B253A01" w14:textId="77777777" w:rsidR="005B132B" w:rsidRDefault="005B132B" w:rsidP="005B132B">
      <w:pPr>
        <w:pStyle w:val="Heading2"/>
      </w:pPr>
      <w:r w:rsidRPr="009E7FA6">
        <w:lastRenderedPageBreak/>
        <w:t>Documents &amp; Attachments:</w:t>
      </w:r>
    </w:p>
    <w:p w14:paraId="0E2F1F51" w14:textId="77777777" w:rsidR="005B132B" w:rsidRPr="009E7FA6" w:rsidRDefault="005B132B" w:rsidP="005B132B">
      <w:pPr>
        <w:rPr>
          <w:b/>
          <w:bCs/>
        </w:rPr>
      </w:pPr>
      <w:r>
        <w:rPr>
          <w:b/>
          <w:bCs/>
        </w:rPr>
        <w:t>School to provide:</w:t>
      </w:r>
    </w:p>
    <w:p w14:paraId="40D13015" w14:textId="6BF0D22E" w:rsidR="005B132B" w:rsidRDefault="005B132B" w:rsidP="005B132B">
      <w:pPr>
        <w:pStyle w:val="ListParagraph"/>
        <w:numPr>
          <w:ilvl w:val="0"/>
          <w:numId w:val="10"/>
        </w:numPr>
      </w:pPr>
      <w:r w:rsidRPr="00C14B08">
        <w:t>Cover letter outlining how the school will meet the required criteria</w:t>
      </w:r>
      <w:r>
        <w:t xml:space="preserve"> [see </w:t>
      </w:r>
      <w:r w:rsidRPr="005B132B">
        <w:t>Cover Letter Content</w:t>
      </w:r>
      <w:r>
        <w:t>]</w:t>
      </w:r>
    </w:p>
    <w:p w14:paraId="7420F121" w14:textId="77777777" w:rsidR="005B132B" w:rsidRDefault="005B132B" w:rsidP="005B132B">
      <w:pPr>
        <w:pStyle w:val="ListParagraph"/>
        <w:numPr>
          <w:ilvl w:val="0"/>
          <w:numId w:val="10"/>
        </w:numPr>
      </w:pPr>
      <w:r>
        <w:t>School’s assessment policies and processes</w:t>
      </w:r>
    </w:p>
    <w:p w14:paraId="477CDC46" w14:textId="7D5D20B3" w:rsidR="001B77E2" w:rsidRPr="00C14B08" w:rsidRDefault="001B77E2" w:rsidP="005B132B">
      <w:pPr>
        <w:pStyle w:val="ListParagraph"/>
        <w:numPr>
          <w:ilvl w:val="0"/>
          <w:numId w:val="10"/>
        </w:numPr>
      </w:pPr>
      <w:r>
        <w:t>Ringa Hora’s letter of support for consent to assess unit/skill standards (if applicable)</w:t>
      </w:r>
    </w:p>
    <w:p w14:paraId="2ECF6A83" w14:textId="77777777" w:rsidR="005B132B" w:rsidRPr="00B30C93" w:rsidRDefault="005B132B" w:rsidP="005B132B">
      <w:pPr>
        <w:rPr>
          <w:b/>
          <w:bCs/>
        </w:rPr>
      </w:pPr>
      <w:r w:rsidRPr="00B30C93">
        <w:rPr>
          <w:b/>
          <w:bCs/>
        </w:rPr>
        <w:t>ServiceIQ to provide:</w:t>
      </w:r>
    </w:p>
    <w:p w14:paraId="6635F03D" w14:textId="77777777" w:rsidR="005B132B" w:rsidRDefault="005B132B" w:rsidP="005B132B">
      <w:pPr>
        <w:pStyle w:val="ListParagraph"/>
        <w:numPr>
          <w:ilvl w:val="0"/>
          <w:numId w:val="12"/>
        </w:numPr>
      </w:pPr>
      <w:r w:rsidRPr="00C14B08">
        <w:t>ServiceIQ letter of support for programme delivery</w:t>
      </w:r>
    </w:p>
    <w:p w14:paraId="3E4E4D65" w14:textId="60F6F36A" w:rsidR="005B132B" w:rsidRPr="00C14B08" w:rsidRDefault="005B132B" w:rsidP="005B132B">
      <w:pPr>
        <w:pStyle w:val="ListParagraph"/>
        <w:numPr>
          <w:ilvl w:val="0"/>
          <w:numId w:val="10"/>
        </w:numPr>
      </w:pPr>
      <w:r w:rsidRPr="00C14B08">
        <w:t>ServiceIQ</w:t>
      </w:r>
      <w:r>
        <w:t xml:space="preserve"> official programme document </w:t>
      </w:r>
    </w:p>
    <w:p w14:paraId="49C2653B" w14:textId="5BCBDF01" w:rsidR="005B132B" w:rsidRDefault="005B132B">
      <w:r>
        <w:br w:type="page"/>
      </w:r>
    </w:p>
    <w:p w14:paraId="128AD5FA" w14:textId="1331D992" w:rsidR="00256DEB" w:rsidRPr="00256DEB" w:rsidRDefault="00DA329F" w:rsidP="000B058D">
      <w:pPr>
        <w:pStyle w:val="Heading1"/>
      </w:pPr>
      <w:r>
        <w:lastRenderedPageBreak/>
        <w:t xml:space="preserve">Sample </w:t>
      </w:r>
      <w:r w:rsidR="005B132B">
        <w:t xml:space="preserve">Cover Letter </w:t>
      </w:r>
      <w:r w:rsidR="00256DEB" w:rsidRPr="00256DEB">
        <w:t>Content</w:t>
      </w:r>
    </w:p>
    <w:p w14:paraId="0CC3879B" w14:textId="5DFA2995" w:rsidR="00671958" w:rsidRDefault="00D96306">
      <w:r w:rsidRPr="00D96306">
        <w:t>Applications must contain the following information</w:t>
      </w:r>
      <w:r w:rsidR="005B132B">
        <w:t xml:space="preserve"> (can be described in </w:t>
      </w:r>
      <w:r w:rsidR="00C8002C">
        <w:t>~</w:t>
      </w:r>
      <w:r w:rsidR="005B132B">
        <w:t>2 pages):</w:t>
      </w:r>
      <w:r w:rsidR="00F24C23" w:rsidRPr="00F24C23">
        <w:rPr>
          <w:color w:val="A02B93" w:themeColor="accent5"/>
        </w:rPr>
        <w:t xml:space="preserve"> </w:t>
      </w:r>
      <w:r w:rsidR="00F24C23">
        <w:rPr>
          <w:color w:val="A02B93" w:themeColor="accent5"/>
        </w:rPr>
        <w:br/>
        <w:t>see s</w:t>
      </w:r>
      <w:r w:rsidR="00F24C23" w:rsidRPr="00C14B08">
        <w:rPr>
          <w:color w:val="A02B93" w:themeColor="accent5"/>
        </w:rPr>
        <w:t>ample wording</w:t>
      </w:r>
      <w:r w:rsidR="00F24C23">
        <w:rPr>
          <w:color w:val="A02B93" w:themeColor="accent5"/>
        </w:rPr>
        <w:t xml:space="preserve"> in coloured text</w:t>
      </w:r>
    </w:p>
    <w:p w14:paraId="1CBB04DF" w14:textId="77777777" w:rsidR="00D96306" w:rsidRDefault="00D96306" w:rsidP="00D96306">
      <w:pPr>
        <w:pStyle w:val="Heading2"/>
      </w:pPr>
      <w:r>
        <w:t>Criterion 1 Assessment and moderation</w:t>
      </w:r>
    </w:p>
    <w:p w14:paraId="7C1C31A7" w14:textId="4DB695EF" w:rsidR="00D96306" w:rsidRDefault="00D96306" w:rsidP="00D96306">
      <w:r>
        <w:t>The school has the capability and capacity to ensure assessment materials and decisions are fair, valid, consistent and appropriate for the level, given the stated learning outcomes.</w:t>
      </w:r>
    </w:p>
    <w:p w14:paraId="60A06EF0" w14:textId="06CBBCAE" w:rsidR="00C14B08" w:rsidRPr="00C14B08" w:rsidRDefault="00C14B08" w:rsidP="00D96306">
      <w:pPr>
        <w:rPr>
          <w:color w:val="A02B93" w:themeColor="accent5"/>
        </w:rPr>
      </w:pPr>
      <w:r w:rsidRPr="00C14B08">
        <w:rPr>
          <w:color w:val="A02B93" w:themeColor="accent5"/>
        </w:rPr>
        <w:t xml:space="preserve"> </w:t>
      </w:r>
      <w:r w:rsidRPr="00F24C23">
        <w:rPr>
          <w:color w:val="A02B93" w:themeColor="accent5"/>
          <w:highlight w:val="yellow"/>
        </w:rPr>
        <w:t>[School]</w:t>
      </w:r>
      <w:r w:rsidRPr="00C14B08">
        <w:rPr>
          <w:color w:val="A02B93" w:themeColor="accent5"/>
        </w:rPr>
        <w:t xml:space="preserve"> has support to deliver the ServiceIQ programme </w:t>
      </w:r>
      <w:r w:rsidRPr="00F24C23">
        <w:rPr>
          <w:color w:val="A02B93" w:themeColor="accent5"/>
          <w:highlight w:val="yellow"/>
        </w:rPr>
        <w:t>[Hospitality or Tourism]</w:t>
      </w:r>
      <w:r w:rsidRPr="00C14B08">
        <w:rPr>
          <w:color w:val="A02B93" w:themeColor="accent5"/>
        </w:rPr>
        <w:t xml:space="preserve"> with pre-moderated assessments and tutor assessment guides</w:t>
      </w:r>
      <w:r>
        <w:rPr>
          <w:color w:val="A02B93" w:themeColor="accent5"/>
        </w:rPr>
        <w:t>.</w:t>
      </w:r>
    </w:p>
    <w:p w14:paraId="2FE7C4B8" w14:textId="1B58FE33" w:rsidR="00C14B08" w:rsidRPr="00C14B08" w:rsidRDefault="00C14B08" w:rsidP="00C14B08">
      <w:pPr>
        <w:rPr>
          <w:color w:val="A02B93" w:themeColor="accent5"/>
        </w:rPr>
      </w:pPr>
      <w:r w:rsidRPr="00F24C23">
        <w:rPr>
          <w:color w:val="A02B93" w:themeColor="accent5"/>
          <w:highlight w:val="yellow"/>
        </w:rPr>
        <w:t>[</w:t>
      </w:r>
      <w:r w:rsidR="00F24C23" w:rsidRPr="00F24C23">
        <w:rPr>
          <w:color w:val="A02B93" w:themeColor="accent5"/>
          <w:highlight w:val="yellow"/>
        </w:rPr>
        <w:t>School]</w:t>
      </w:r>
      <w:r w:rsidR="00F24C23" w:rsidRPr="00C14B08">
        <w:rPr>
          <w:color w:val="A02B93" w:themeColor="accent5"/>
        </w:rPr>
        <w:t xml:space="preserve"> </w:t>
      </w:r>
      <w:r w:rsidR="00F24C23" w:rsidRPr="00F24C23">
        <w:rPr>
          <w:color w:val="A02B93" w:themeColor="accent5"/>
          <w:highlight w:val="yellow"/>
        </w:rPr>
        <w:t>has</w:t>
      </w:r>
      <w:r w:rsidRPr="00F24C23">
        <w:rPr>
          <w:color w:val="A02B93" w:themeColor="accent5"/>
          <w:highlight w:val="yellow"/>
        </w:rPr>
        <w:t xml:space="preserve"> </w:t>
      </w:r>
      <w:r w:rsidR="00F24C23" w:rsidRPr="00F24C23">
        <w:rPr>
          <w:color w:val="A02B93" w:themeColor="accent5"/>
          <w:highlight w:val="yellow"/>
        </w:rPr>
        <w:t>or is applying for</w:t>
      </w:r>
      <w:r w:rsidR="00F24C23">
        <w:rPr>
          <w:color w:val="A02B93" w:themeColor="accent5"/>
        </w:rPr>
        <w:t xml:space="preserve"> </w:t>
      </w:r>
      <w:r>
        <w:rPr>
          <w:color w:val="A02B93" w:themeColor="accent5"/>
        </w:rPr>
        <w:t xml:space="preserve">consent to </w:t>
      </w:r>
      <w:r w:rsidRPr="00C8002C">
        <w:rPr>
          <w:color w:val="A02B93" w:themeColor="accent5"/>
        </w:rPr>
        <w:t xml:space="preserve">assess </w:t>
      </w:r>
      <w:r w:rsidR="00934CC8" w:rsidRPr="00F24C23">
        <w:rPr>
          <w:color w:val="A02B93" w:themeColor="accent5"/>
          <w:highlight w:val="yellow"/>
        </w:rPr>
        <w:t>these</w:t>
      </w:r>
      <w:r w:rsidR="00934CC8" w:rsidRPr="00C8002C">
        <w:rPr>
          <w:color w:val="A02B93" w:themeColor="accent5"/>
        </w:rPr>
        <w:t xml:space="preserve"> unit/skill</w:t>
      </w:r>
      <w:r w:rsidRPr="00C8002C">
        <w:rPr>
          <w:color w:val="A02B93" w:themeColor="accent5"/>
        </w:rPr>
        <w:t xml:space="preserve"> standards outlined</w:t>
      </w:r>
      <w:r>
        <w:rPr>
          <w:color w:val="A02B93" w:themeColor="accent5"/>
        </w:rPr>
        <w:t xml:space="preserve"> in the programme</w:t>
      </w:r>
      <w:r w:rsidR="00934CC8">
        <w:rPr>
          <w:color w:val="A02B93" w:themeColor="accent5"/>
        </w:rPr>
        <w:t>.</w:t>
      </w:r>
    </w:p>
    <w:p w14:paraId="0655529A" w14:textId="77777777" w:rsidR="00D96306" w:rsidRDefault="00D96306" w:rsidP="00D96306">
      <w:pPr>
        <w:pStyle w:val="Heading2"/>
      </w:pPr>
      <w:r>
        <w:t>Criterion 2 Resources</w:t>
      </w:r>
    </w:p>
    <w:p w14:paraId="16E6D0F1" w14:textId="124E92EC" w:rsidR="00D96306" w:rsidRDefault="00D96306" w:rsidP="00D96306">
      <w:r>
        <w:t>The institution has the capability and capacity to support sustained delivery of the programme through appropriate academic staffing, teaching facilities, educational and physical resources, and support services.</w:t>
      </w:r>
    </w:p>
    <w:p w14:paraId="7E5CFF97" w14:textId="50C62E8D" w:rsidR="00C14B08" w:rsidRDefault="00C14B08" w:rsidP="00D96306">
      <w:r>
        <w:t>appropriate academic staffing</w:t>
      </w:r>
    </w:p>
    <w:p w14:paraId="0C3CA852" w14:textId="1354BBEB" w:rsidR="00C14B08" w:rsidRPr="00C14B08" w:rsidRDefault="00C14B08" w:rsidP="00D96306">
      <w:pPr>
        <w:rPr>
          <w:color w:val="A02B93" w:themeColor="accent5"/>
        </w:rPr>
      </w:pPr>
      <w:r w:rsidRPr="00C14B08">
        <w:rPr>
          <w:color w:val="A02B93" w:themeColor="accent5"/>
        </w:rPr>
        <w:t xml:space="preserve">This programme will be taught by qualified academic staff, including </w:t>
      </w:r>
      <w:r w:rsidR="00F24C23" w:rsidRPr="00F24C23">
        <w:rPr>
          <w:color w:val="A02B93" w:themeColor="accent5"/>
          <w:highlight w:val="yellow"/>
        </w:rPr>
        <w:t>[staff member]</w:t>
      </w:r>
      <w:r w:rsidRPr="00C14B08">
        <w:rPr>
          <w:color w:val="A02B93" w:themeColor="accent5"/>
        </w:rPr>
        <w:t xml:space="preserve"> who has a degree in </w:t>
      </w:r>
      <w:r w:rsidR="00F24C23" w:rsidRPr="00F24C23">
        <w:rPr>
          <w:color w:val="A02B93" w:themeColor="accent5"/>
          <w:highlight w:val="yellow"/>
        </w:rPr>
        <w:t>[degree title]</w:t>
      </w:r>
      <w:r w:rsidRPr="00C14B08">
        <w:rPr>
          <w:color w:val="A02B93" w:themeColor="accent5"/>
        </w:rPr>
        <w:t xml:space="preserve"> and has</w:t>
      </w:r>
      <w:r w:rsidR="00F24C23">
        <w:rPr>
          <w:color w:val="A02B93" w:themeColor="accent5"/>
        </w:rPr>
        <w:t xml:space="preserve"> </w:t>
      </w:r>
      <w:r w:rsidR="00F24C23" w:rsidRPr="00F24C23">
        <w:rPr>
          <w:color w:val="A02B93" w:themeColor="accent5"/>
          <w:highlight w:val="yellow"/>
        </w:rPr>
        <w:t>[#]</w:t>
      </w:r>
      <w:r w:rsidRPr="00C14B08">
        <w:rPr>
          <w:color w:val="A02B93" w:themeColor="accent5"/>
        </w:rPr>
        <w:t xml:space="preserve"> years of experience teaching </w:t>
      </w:r>
      <w:r w:rsidR="00F24C23" w:rsidRPr="00F24C23">
        <w:rPr>
          <w:color w:val="A02B93" w:themeColor="accent5"/>
          <w:highlight w:val="yellow"/>
        </w:rPr>
        <w:t>[subject]</w:t>
      </w:r>
      <w:r w:rsidRPr="00C14B08">
        <w:rPr>
          <w:color w:val="A02B93" w:themeColor="accent5"/>
        </w:rPr>
        <w:t xml:space="preserve">. </w:t>
      </w:r>
    </w:p>
    <w:p w14:paraId="5EFCCDF3" w14:textId="2375CD3A" w:rsidR="00C14B08" w:rsidRDefault="00C14B08" w:rsidP="00D96306">
      <w:r>
        <w:t>teaching facilities</w:t>
      </w:r>
    </w:p>
    <w:p w14:paraId="65C48008" w14:textId="40389ABB" w:rsidR="00C14B08" w:rsidRDefault="00C14B08" w:rsidP="00D96306">
      <w:pPr>
        <w:rPr>
          <w:color w:val="A02B93" w:themeColor="accent5"/>
        </w:rPr>
      </w:pPr>
      <w:r w:rsidRPr="00C14B08">
        <w:rPr>
          <w:color w:val="A02B93" w:themeColor="accent5"/>
        </w:rPr>
        <w:t xml:space="preserve">The programme will be delivered at </w:t>
      </w:r>
      <w:r w:rsidR="00F24C23" w:rsidRPr="00F24C23">
        <w:rPr>
          <w:color w:val="A02B93" w:themeColor="accent5"/>
          <w:highlight w:val="yellow"/>
        </w:rPr>
        <w:t>[location]</w:t>
      </w:r>
      <w:r w:rsidRPr="00C14B08">
        <w:rPr>
          <w:color w:val="A02B93" w:themeColor="accent5"/>
        </w:rPr>
        <w:t xml:space="preserve"> which has the following facilities: </w:t>
      </w:r>
      <w:r w:rsidR="00F24C23" w:rsidRPr="00F24C23">
        <w:rPr>
          <w:color w:val="A02B93" w:themeColor="accent5"/>
          <w:highlight w:val="yellow"/>
        </w:rPr>
        <w:t>[describe facilities]</w:t>
      </w:r>
      <w:r w:rsidRPr="00C14B08">
        <w:rPr>
          <w:color w:val="A02B93" w:themeColor="accent5"/>
        </w:rPr>
        <w:t xml:space="preserve">. </w:t>
      </w:r>
      <w:r>
        <w:rPr>
          <w:color w:val="A02B93" w:themeColor="accent5"/>
        </w:rPr>
        <w:t xml:space="preserve">Classes are timetabled for a minimum of </w:t>
      </w:r>
      <w:r w:rsidR="00F24C23" w:rsidRPr="00F24C23">
        <w:rPr>
          <w:color w:val="A02B93" w:themeColor="accent5"/>
          <w:highlight w:val="yellow"/>
        </w:rPr>
        <w:t>[#]</w:t>
      </w:r>
      <w:r>
        <w:rPr>
          <w:color w:val="A02B93" w:themeColor="accent5"/>
        </w:rPr>
        <w:t xml:space="preserve"> hours across </w:t>
      </w:r>
      <w:r w:rsidR="00F24C23" w:rsidRPr="00F24C23">
        <w:rPr>
          <w:color w:val="A02B93" w:themeColor="accent5"/>
          <w:highlight w:val="yellow"/>
        </w:rPr>
        <w:t>[#]</w:t>
      </w:r>
      <w:r w:rsidR="00F24C23">
        <w:rPr>
          <w:color w:val="A02B93" w:themeColor="accent5"/>
        </w:rPr>
        <w:t xml:space="preserve"> </w:t>
      </w:r>
      <w:r>
        <w:rPr>
          <w:color w:val="A02B93" w:themeColor="accent5"/>
        </w:rPr>
        <w:t xml:space="preserve">days. Practical </w:t>
      </w:r>
      <w:r w:rsidR="00E37222">
        <w:rPr>
          <w:color w:val="A02B93" w:themeColor="accent5"/>
        </w:rPr>
        <w:t xml:space="preserve">or simulated </w:t>
      </w:r>
      <w:r>
        <w:rPr>
          <w:color w:val="A02B93" w:themeColor="accent5"/>
        </w:rPr>
        <w:t xml:space="preserve">elements are timetabled into </w:t>
      </w:r>
      <w:r w:rsidR="00F24C23" w:rsidRPr="00F24C23">
        <w:rPr>
          <w:color w:val="A02B93" w:themeColor="accent5"/>
          <w:highlight w:val="yellow"/>
        </w:rPr>
        <w:t>[describe timetable]</w:t>
      </w:r>
      <w:r>
        <w:rPr>
          <w:color w:val="A02B93" w:themeColor="accent5"/>
        </w:rPr>
        <w:t xml:space="preserve">, and the remainder of the timetabled hours will focus on theory and other components. </w:t>
      </w:r>
    </w:p>
    <w:p w14:paraId="1CE26560" w14:textId="518E93AF" w:rsidR="00C14B08" w:rsidRDefault="00C14B08" w:rsidP="00D96306">
      <w:r>
        <w:t>educational and physical resources</w:t>
      </w:r>
    </w:p>
    <w:p w14:paraId="485D5BB5" w14:textId="39D2F9BB" w:rsidR="00C14B08" w:rsidRDefault="00F24C23" w:rsidP="00C14B08">
      <w:pPr>
        <w:rPr>
          <w:color w:val="A02B93" w:themeColor="accent5"/>
        </w:rPr>
      </w:pPr>
      <w:r w:rsidRPr="00F24C23">
        <w:rPr>
          <w:color w:val="A02B93" w:themeColor="accent5"/>
          <w:highlight w:val="yellow"/>
        </w:rPr>
        <w:t>[</w:t>
      </w:r>
      <w:r w:rsidR="00C14B08" w:rsidRPr="00F24C23">
        <w:rPr>
          <w:color w:val="A02B93" w:themeColor="accent5"/>
          <w:highlight w:val="yellow"/>
        </w:rPr>
        <w:t>School]</w:t>
      </w:r>
      <w:r w:rsidR="00C14B08" w:rsidRPr="00C14B08">
        <w:rPr>
          <w:color w:val="A02B93" w:themeColor="accent5"/>
        </w:rPr>
        <w:t xml:space="preserve"> will use ServiceIQ learning and assessment materials that have been pre-moderated and approved by Ringa Hora. If any other assessment materials are used, they will be pre-moderated and approved by Ringa Hora before use.</w:t>
      </w:r>
    </w:p>
    <w:p w14:paraId="439CDEE2" w14:textId="13C04FFE" w:rsidR="003E1D24" w:rsidRDefault="003E1D24" w:rsidP="00C14B08">
      <w:pPr>
        <w:rPr>
          <w:color w:val="A02B93" w:themeColor="accent5"/>
        </w:rPr>
      </w:pPr>
      <w:r>
        <w:rPr>
          <w:color w:val="A02B93" w:themeColor="accent5"/>
        </w:rPr>
        <w:t xml:space="preserve">The learning hours will be comprised of key learning activities including </w:t>
      </w:r>
      <w:r w:rsidR="00F24C23" w:rsidRPr="00F24C23">
        <w:rPr>
          <w:color w:val="A02B93" w:themeColor="accent5"/>
          <w:highlight w:val="yellow"/>
        </w:rPr>
        <w:t>[describe activities]</w:t>
      </w:r>
      <w:r>
        <w:rPr>
          <w:color w:val="A02B93" w:themeColor="accent5"/>
        </w:rPr>
        <w:t xml:space="preserve">. Activities map to the learning outcomes and assessment in these ways: </w:t>
      </w:r>
      <w:r w:rsidR="00F24C23" w:rsidRPr="00F24C23">
        <w:rPr>
          <w:color w:val="A02B93" w:themeColor="accent5"/>
          <w:highlight w:val="yellow"/>
        </w:rPr>
        <w:t>[</w:t>
      </w:r>
      <w:r w:rsidR="00F24C23">
        <w:rPr>
          <w:color w:val="A02B93" w:themeColor="accent5"/>
          <w:highlight w:val="yellow"/>
        </w:rPr>
        <w:t>see</w:t>
      </w:r>
      <w:r w:rsidR="00F24C23" w:rsidRPr="00F24C23">
        <w:rPr>
          <w:color w:val="A02B93" w:themeColor="accent5"/>
          <w:highlight w:val="yellow"/>
        </w:rPr>
        <w:t xml:space="preserve"> list of methods and activities below]</w:t>
      </w:r>
      <w:r>
        <w:rPr>
          <w:color w:val="A02B93" w:themeColor="accent5"/>
        </w:rPr>
        <w:t xml:space="preserve">. These activities and delivery methods are designed to help students achieve the learning outcomes by </w:t>
      </w:r>
      <w:r w:rsidR="00F24C23" w:rsidRPr="00F24C23">
        <w:rPr>
          <w:color w:val="A02B93" w:themeColor="accent5"/>
          <w:highlight w:val="yellow"/>
        </w:rPr>
        <w:t>[explain how methods will lead to outcomes]</w:t>
      </w:r>
      <w:r>
        <w:rPr>
          <w:color w:val="A02B93" w:themeColor="accent5"/>
        </w:rPr>
        <w:t>. Self-directed learning will include</w:t>
      </w:r>
      <w:r w:rsidR="00F24C23">
        <w:rPr>
          <w:color w:val="A02B93" w:themeColor="accent5"/>
        </w:rPr>
        <w:t xml:space="preserve"> </w:t>
      </w:r>
      <w:r w:rsidR="00F24C23" w:rsidRPr="00F24C23">
        <w:rPr>
          <w:color w:val="A02B93" w:themeColor="accent5"/>
          <w:highlight w:val="yellow"/>
        </w:rPr>
        <w:t>[describe self-directed learning]</w:t>
      </w:r>
      <w:r>
        <w:rPr>
          <w:color w:val="A02B93" w:themeColor="accent5"/>
        </w:rPr>
        <w:t xml:space="preserve">. This learning will be planned in a way that complements the in-class activities and helps students complete their assessments. The learning hours of activities alongside </w:t>
      </w:r>
      <w:r>
        <w:rPr>
          <w:color w:val="A02B93" w:themeColor="accent5"/>
        </w:rPr>
        <w:lastRenderedPageBreak/>
        <w:t>self-study hours will make up the programme’s 40 credit value (in line with 1 credit equalling approximately 10 learning hours).</w:t>
      </w:r>
    </w:p>
    <w:p w14:paraId="577F1719" w14:textId="00359FB3" w:rsidR="003E1D24" w:rsidRPr="003E1D24" w:rsidRDefault="003E1D24" w:rsidP="003E1D24">
      <w:pPr>
        <w:rPr>
          <w:color w:val="A02B93" w:themeColor="accent5"/>
        </w:rPr>
      </w:pPr>
      <w:r>
        <w:rPr>
          <w:color w:val="A02B93" w:themeColor="accent5"/>
        </w:rPr>
        <w:t>*</w:t>
      </w:r>
      <w:r w:rsidRPr="003E1D24">
        <w:rPr>
          <w:color w:val="A02B93" w:themeColor="accent5"/>
        </w:rPr>
        <w:t xml:space="preserve">Methods and activities may include: </w:t>
      </w:r>
    </w:p>
    <w:p w14:paraId="16B62F03" w14:textId="77777777" w:rsidR="003E1D24" w:rsidRPr="003E1D24" w:rsidRDefault="003E1D24" w:rsidP="003E1D24">
      <w:pPr>
        <w:pStyle w:val="ListParagraph"/>
        <w:numPr>
          <w:ilvl w:val="0"/>
          <w:numId w:val="10"/>
        </w:numPr>
        <w:rPr>
          <w:color w:val="A02B93" w:themeColor="accent5"/>
        </w:rPr>
      </w:pPr>
      <w:r w:rsidRPr="003E1D24">
        <w:rPr>
          <w:color w:val="A02B93" w:themeColor="accent5"/>
        </w:rPr>
        <w:t xml:space="preserve">research </w:t>
      </w:r>
    </w:p>
    <w:p w14:paraId="4BF1A2D4" w14:textId="77777777" w:rsidR="003E1D24" w:rsidRPr="003E1D24" w:rsidRDefault="003E1D24" w:rsidP="003E1D24">
      <w:pPr>
        <w:pStyle w:val="ListParagraph"/>
        <w:numPr>
          <w:ilvl w:val="0"/>
          <w:numId w:val="10"/>
        </w:numPr>
        <w:rPr>
          <w:color w:val="A02B93" w:themeColor="accent5"/>
        </w:rPr>
      </w:pPr>
      <w:r w:rsidRPr="003E1D24">
        <w:rPr>
          <w:color w:val="A02B93" w:themeColor="accent5"/>
        </w:rPr>
        <w:t xml:space="preserve">coaching </w:t>
      </w:r>
    </w:p>
    <w:p w14:paraId="7B129348" w14:textId="77777777" w:rsidR="003E1D24" w:rsidRPr="003E1D24" w:rsidRDefault="003E1D24" w:rsidP="003E1D24">
      <w:pPr>
        <w:pStyle w:val="ListParagraph"/>
        <w:numPr>
          <w:ilvl w:val="0"/>
          <w:numId w:val="10"/>
        </w:numPr>
        <w:rPr>
          <w:color w:val="A02B93" w:themeColor="accent5"/>
        </w:rPr>
      </w:pPr>
      <w:r w:rsidRPr="003E1D24">
        <w:rPr>
          <w:color w:val="A02B93" w:themeColor="accent5"/>
        </w:rPr>
        <w:t xml:space="preserve">tutorials </w:t>
      </w:r>
    </w:p>
    <w:p w14:paraId="41A5EE60" w14:textId="10006AEC" w:rsidR="003E1D24" w:rsidRPr="003E1D24" w:rsidRDefault="003E1D24" w:rsidP="003E1D24">
      <w:pPr>
        <w:pStyle w:val="ListParagraph"/>
        <w:numPr>
          <w:ilvl w:val="0"/>
          <w:numId w:val="10"/>
        </w:numPr>
        <w:rPr>
          <w:color w:val="A02B93" w:themeColor="accent5"/>
        </w:rPr>
      </w:pPr>
      <w:r w:rsidRPr="003E1D24">
        <w:rPr>
          <w:color w:val="A02B93" w:themeColor="accent5"/>
        </w:rPr>
        <w:t>lectures</w:t>
      </w:r>
    </w:p>
    <w:p w14:paraId="7FA96A3C" w14:textId="77777777" w:rsidR="003E1D24" w:rsidRPr="003E1D24" w:rsidRDefault="003E1D24" w:rsidP="003E1D24">
      <w:pPr>
        <w:pStyle w:val="ListParagraph"/>
        <w:numPr>
          <w:ilvl w:val="0"/>
          <w:numId w:val="10"/>
        </w:numPr>
        <w:rPr>
          <w:color w:val="A02B93" w:themeColor="accent5"/>
        </w:rPr>
      </w:pPr>
      <w:r w:rsidRPr="003E1D24">
        <w:rPr>
          <w:color w:val="A02B93" w:themeColor="accent5"/>
        </w:rPr>
        <w:t xml:space="preserve">on-job instruction </w:t>
      </w:r>
    </w:p>
    <w:p w14:paraId="15B6BFFB" w14:textId="12A9302A" w:rsidR="003E1D24" w:rsidRPr="003E1D24" w:rsidRDefault="003E1D24" w:rsidP="003E1D24">
      <w:pPr>
        <w:pStyle w:val="ListParagraph"/>
        <w:numPr>
          <w:ilvl w:val="0"/>
          <w:numId w:val="10"/>
        </w:numPr>
        <w:rPr>
          <w:color w:val="A02B93" w:themeColor="accent5"/>
        </w:rPr>
      </w:pPr>
      <w:r w:rsidRPr="003E1D24">
        <w:rPr>
          <w:color w:val="A02B93" w:themeColor="accent5"/>
        </w:rPr>
        <w:t>work-based activity</w:t>
      </w:r>
    </w:p>
    <w:p w14:paraId="1A607932" w14:textId="021638DA" w:rsidR="003E1D24" w:rsidRPr="003E1D24" w:rsidRDefault="003E1D24" w:rsidP="003E1D24">
      <w:pPr>
        <w:pStyle w:val="ListParagraph"/>
        <w:numPr>
          <w:ilvl w:val="0"/>
          <w:numId w:val="10"/>
        </w:numPr>
        <w:rPr>
          <w:color w:val="A02B93" w:themeColor="accent5"/>
        </w:rPr>
      </w:pPr>
      <w:r w:rsidRPr="003E1D24">
        <w:rPr>
          <w:color w:val="A02B93" w:themeColor="accent5"/>
        </w:rPr>
        <w:t xml:space="preserve">conferences </w:t>
      </w:r>
    </w:p>
    <w:p w14:paraId="08F27B14" w14:textId="77777777" w:rsidR="003E1D24" w:rsidRPr="003E1D24" w:rsidRDefault="003E1D24" w:rsidP="003E1D24">
      <w:pPr>
        <w:pStyle w:val="ListParagraph"/>
        <w:numPr>
          <w:ilvl w:val="0"/>
          <w:numId w:val="10"/>
        </w:numPr>
        <w:rPr>
          <w:color w:val="A02B93" w:themeColor="accent5"/>
        </w:rPr>
      </w:pPr>
      <w:r w:rsidRPr="003E1D24">
        <w:rPr>
          <w:color w:val="A02B93" w:themeColor="accent5"/>
        </w:rPr>
        <w:t xml:space="preserve">guest speakers </w:t>
      </w:r>
    </w:p>
    <w:p w14:paraId="1294BD8E" w14:textId="77777777" w:rsidR="003E1D24" w:rsidRPr="003E1D24" w:rsidRDefault="003E1D24" w:rsidP="003E1D24">
      <w:pPr>
        <w:pStyle w:val="ListParagraph"/>
        <w:numPr>
          <w:ilvl w:val="0"/>
          <w:numId w:val="10"/>
        </w:numPr>
        <w:rPr>
          <w:color w:val="A02B93" w:themeColor="accent5"/>
        </w:rPr>
      </w:pPr>
      <w:r w:rsidRPr="003E1D24">
        <w:rPr>
          <w:color w:val="A02B93" w:themeColor="accent5"/>
        </w:rPr>
        <w:t xml:space="preserve">group work </w:t>
      </w:r>
    </w:p>
    <w:p w14:paraId="6C703034" w14:textId="59685514" w:rsidR="003E1D24" w:rsidRPr="003E1D24" w:rsidRDefault="003E1D24" w:rsidP="003E1D24">
      <w:pPr>
        <w:pStyle w:val="ListParagraph"/>
        <w:numPr>
          <w:ilvl w:val="0"/>
          <w:numId w:val="10"/>
        </w:numPr>
        <w:rPr>
          <w:color w:val="A02B93" w:themeColor="accent5"/>
        </w:rPr>
      </w:pPr>
      <w:r w:rsidRPr="003E1D24">
        <w:rPr>
          <w:color w:val="A02B93" w:themeColor="accent5"/>
        </w:rPr>
        <w:t>field trips</w:t>
      </w:r>
    </w:p>
    <w:p w14:paraId="26F62511" w14:textId="77777777" w:rsidR="003E1D24" w:rsidRPr="003E1D24" w:rsidRDefault="003E1D24" w:rsidP="003E1D24">
      <w:pPr>
        <w:pStyle w:val="ListParagraph"/>
        <w:numPr>
          <w:ilvl w:val="0"/>
          <w:numId w:val="10"/>
        </w:numPr>
        <w:rPr>
          <w:color w:val="A02B93" w:themeColor="accent5"/>
        </w:rPr>
      </w:pPr>
      <w:proofErr w:type="spellStart"/>
      <w:r w:rsidRPr="003E1D24">
        <w:rPr>
          <w:color w:val="A02B93" w:themeColor="accent5"/>
        </w:rPr>
        <w:t>noho</w:t>
      </w:r>
      <w:proofErr w:type="spellEnd"/>
      <w:r w:rsidRPr="003E1D24">
        <w:rPr>
          <w:color w:val="A02B93" w:themeColor="accent5"/>
        </w:rPr>
        <w:t xml:space="preserve"> marae</w:t>
      </w:r>
    </w:p>
    <w:p w14:paraId="3A014CD6" w14:textId="4BF8BF7D" w:rsidR="003E1D24" w:rsidRPr="003E1D24" w:rsidRDefault="003E1D24" w:rsidP="003E1D24">
      <w:pPr>
        <w:pStyle w:val="ListParagraph"/>
        <w:numPr>
          <w:ilvl w:val="0"/>
          <w:numId w:val="10"/>
        </w:numPr>
        <w:rPr>
          <w:color w:val="A02B93" w:themeColor="accent5"/>
        </w:rPr>
      </w:pPr>
      <w:r w:rsidRPr="003E1D24">
        <w:rPr>
          <w:color w:val="A02B93" w:themeColor="accent5"/>
        </w:rPr>
        <w:t>self-directed learning activities</w:t>
      </w:r>
    </w:p>
    <w:p w14:paraId="17617246" w14:textId="10699D15" w:rsidR="00C14B08" w:rsidRDefault="00C14B08" w:rsidP="00D96306">
      <w:r>
        <w:t>support services</w:t>
      </w:r>
    </w:p>
    <w:p w14:paraId="1083088D" w14:textId="462D39EE" w:rsidR="00C14B08" w:rsidRPr="00C14B08" w:rsidRDefault="00C14B08" w:rsidP="00D96306">
      <w:pPr>
        <w:rPr>
          <w:color w:val="A02B93" w:themeColor="accent5"/>
        </w:rPr>
      </w:pPr>
      <w:r w:rsidRPr="00C14B08">
        <w:rPr>
          <w:color w:val="A02B93" w:themeColor="accent5"/>
        </w:rPr>
        <w:t>Students are provided with guides outlining assessment procedures and expectations.</w:t>
      </w:r>
    </w:p>
    <w:p w14:paraId="7C1DA7A7" w14:textId="77777777" w:rsidR="00C14B08" w:rsidRPr="00C14B08" w:rsidRDefault="00C14B08" w:rsidP="00D96306">
      <w:pPr>
        <w:rPr>
          <w:color w:val="A02B93" w:themeColor="accent5"/>
        </w:rPr>
      </w:pPr>
    </w:p>
    <w:p w14:paraId="191E59E3" w14:textId="77777777" w:rsidR="00D96306" w:rsidRDefault="00D96306" w:rsidP="00D96306">
      <w:pPr>
        <w:pStyle w:val="Heading2"/>
      </w:pPr>
      <w:commentRangeStart w:id="3"/>
      <w:r>
        <w:t xml:space="preserve">Criterion </w:t>
      </w:r>
      <w:commentRangeEnd w:id="3"/>
      <w:r w:rsidR="00936D1B">
        <w:rPr>
          <w:rStyle w:val="CommentReference"/>
          <w:rFonts w:asciiTheme="minorHAnsi" w:eastAsiaTheme="minorHAnsi" w:hAnsiTheme="minorHAnsi" w:cstheme="minorBidi"/>
          <w:color w:val="auto"/>
        </w:rPr>
        <w:commentReference w:id="3"/>
      </w:r>
      <w:r>
        <w:t>3 Support for delivery</w:t>
      </w:r>
    </w:p>
    <w:p w14:paraId="437E1889" w14:textId="3C6B0812" w:rsidR="00D96306" w:rsidRDefault="00D96306" w:rsidP="00D96306">
      <w:r>
        <w:t>If the applicant institution is not the holder of the programme approval, there is support from the holder of the programme approval.</w:t>
      </w:r>
    </w:p>
    <w:p w14:paraId="34542039" w14:textId="5558A193" w:rsidR="00C14B08" w:rsidRDefault="00C14B08" w:rsidP="00D96306">
      <w:pPr>
        <w:rPr>
          <w:color w:val="A02B93" w:themeColor="accent5"/>
        </w:rPr>
      </w:pPr>
      <w:r w:rsidRPr="00F24C23">
        <w:rPr>
          <w:color w:val="A02B93" w:themeColor="accent5"/>
          <w:highlight w:val="yellow"/>
        </w:rPr>
        <w:t>[School]</w:t>
      </w:r>
      <w:r w:rsidRPr="00C14B08">
        <w:rPr>
          <w:color w:val="A02B93" w:themeColor="accent5"/>
        </w:rPr>
        <w:t xml:space="preserve"> has </w:t>
      </w:r>
      <w:r>
        <w:rPr>
          <w:color w:val="A02B93" w:themeColor="accent5"/>
        </w:rPr>
        <w:t xml:space="preserve">attached a letter of </w:t>
      </w:r>
      <w:r w:rsidRPr="00C14B08">
        <w:rPr>
          <w:color w:val="A02B93" w:themeColor="accent5"/>
        </w:rPr>
        <w:t xml:space="preserve">support </w:t>
      </w:r>
      <w:r>
        <w:rPr>
          <w:color w:val="A02B93" w:themeColor="accent5"/>
        </w:rPr>
        <w:t xml:space="preserve">from </w:t>
      </w:r>
      <w:r w:rsidRPr="00C14B08">
        <w:rPr>
          <w:color w:val="A02B93" w:themeColor="accent5"/>
        </w:rPr>
        <w:t>ServiceIQ to deliver the programme</w:t>
      </w:r>
      <w:r w:rsidR="00F24C23">
        <w:rPr>
          <w:color w:val="A02B93" w:themeColor="accent5"/>
        </w:rPr>
        <w:t xml:space="preserve">. </w:t>
      </w:r>
      <w:r>
        <w:rPr>
          <w:color w:val="A02B93" w:themeColor="accent5"/>
        </w:rPr>
        <w:t xml:space="preserve">Any programme changes will be initiated by ServiceIQ for their programme after receiving approval from NZQA. </w:t>
      </w:r>
    </w:p>
    <w:p w14:paraId="6A43D7EF" w14:textId="77777777" w:rsidR="00D96306" w:rsidRDefault="00D96306" w:rsidP="00D96306">
      <w:pPr>
        <w:pStyle w:val="Heading2"/>
      </w:pPr>
      <w:r>
        <w:t>Criterion 4 Programme review</w:t>
      </w:r>
    </w:p>
    <w:p w14:paraId="020A42DB" w14:textId="77777777" w:rsidR="00C14B08" w:rsidRDefault="00D96306" w:rsidP="00D96306">
      <w:r>
        <w:t>There must be adequate and effective review of programme performance and the institution's capability to support the programme. There must be monitoring of improvement following review, and processes for determining whether the programme should continue to be delivered.</w:t>
      </w:r>
    </w:p>
    <w:p w14:paraId="003FCF21" w14:textId="663E90B6" w:rsidR="00D96306" w:rsidRDefault="00C14B08" w:rsidP="00D96306">
      <w:r w:rsidRPr="00F24C23">
        <w:rPr>
          <w:color w:val="A02B93" w:themeColor="accent5"/>
          <w:highlight w:val="yellow"/>
        </w:rPr>
        <w:t>[School]</w:t>
      </w:r>
      <w:r>
        <w:rPr>
          <w:color w:val="A02B93" w:themeColor="accent5"/>
        </w:rPr>
        <w:t xml:space="preserve"> will conduct annual reviews and provide regular feedback to ServiceIQ. It will monitor students in terms of the credits they have received and their progression through the programme to ensure they are on track to complete and grain the desired qualification. Students will be surveyed about the programme and how it could be improved, and feedback will be passed on to ServiceIQ.</w:t>
      </w:r>
    </w:p>
    <w:p w14:paraId="40BB01A2" w14:textId="77777777" w:rsidR="00D96306" w:rsidRDefault="00D96306" w:rsidP="00D96306">
      <w:pPr>
        <w:pStyle w:val="Heading2"/>
      </w:pPr>
      <w:r>
        <w:lastRenderedPageBreak/>
        <w:t>Internal Quality Assurance</w:t>
      </w:r>
    </w:p>
    <w:p w14:paraId="6781AFAC" w14:textId="613A7D77" w:rsidR="00D96306" w:rsidRDefault="00D96306" w:rsidP="00D96306">
      <w:r>
        <w:t>Evidence of internal quality assurance approval by the school.</w:t>
      </w:r>
    </w:p>
    <w:p w14:paraId="31FBB9FC" w14:textId="77777777" w:rsidR="00D96306" w:rsidRDefault="00D96306" w:rsidP="00D96306">
      <w:pPr>
        <w:pStyle w:val="Heading2"/>
      </w:pPr>
      <w:r>
        <w:t>Moderation and Consistency Review</w:t>
      </w:r>
    </w:p>
    <w:p w14:paraId="59ED43A3" w14:textId="211AD443" w:rsidR="00D96306" w:rsidRDefault="00D96306" w:rsidP="00D96306">
      <w:r>
        <w:t>Agreement to participate in moderation and the consistency review of the qualification, including how the school will monitor and assure the consistency of qualification achievement by students.</w:t>
      </w:r>
    </w:p>
    <w:p w14:paraId="3B218268" w14:textId="17D87F1E" w:rsidR="00C14B08" w:rsidRDefault="00F24C23" w:rsidP="00C14B08">
      <w:r w:rsidRPr="00F24C23">
        <w:rPr>
          <w:color w:val="A02B93" w:themeColor="accent5"/>
          <w:highlight w:val="yellow"/>
        </w:rPr>
        <w:t>[School]</w:t>
      </w:r>
      <w:r>
        <w:rPr>
          <w:color w:val="A02B93" w:themeColor="accent5"/>
        </w:rPr>
        <w:t xml:space="preserve"> </w:t>
      </w:r>
      <w:r w:rsidR="00C14B08">
        <w:rPr>
          <w:color w:val="A02B93" w:themeColor="accent5"/>
        </w:rPr>
        <w:t>will engage in internal moderation per school policy. Disputes will be managed according to the school’s appeal process. Complaints about the quality of delivery will be managed by the principal.</w:t>
      </w:r>
    </w:p>
    <w:p w14:paraId="773CACD2" w14:textId="4EEC6561" w:rsidR="00C14B08" w:rsidRDefault="00F24C23" w:rsidP="00D96306">
      <w:pPr>
        <w:rPr>
          <w:color w:val="A02B93" w:themeColor="accent5"/>
        </w:rPr>
      </w:pPr>
      <w:r w:rsidRPr="00F24C23">
        <w:rPr>
          <w:color w:val="A02B93" w:themeColor="accent5"/>
          <w:highlight w:val="yellow"/>
        </w:rPr>
        <w:t>[School]</w:t>
      </w:r>
      <w:r>
        <w:rPr>
          <w:color w:val="A02B93" w:themeColor="accent5"/>
        </w:rPr>
        <w:t xml:space="preserve"> </w:t>
      </w:r>
      <w:r w:rsidR="00C14B08">
        <w:rPr>
          <w:color w:val="A02B93" w:themeColor="accent5"/>
        </w:rPr>
        <w:t>will participate in post-moderation by ServiceIQ and Ringa Hora as required by the programme</w:t>
      </w:r>
      <w:r w:rsidR="00B30C93">
        <w:rPr>
          <w:color w:val="A02B93" w:themeColor="accent5"/>
        </w:rPr>
        <w:t xml:space="preserve"> and retain </w:t>
      </w:r>
      <w:r w:rsidR="00B30C93" w:rsidRPr="00B30C93">
        <w:rPr>
          <w:color w:val="A02B93" w:themeColor="accent5"/>
        </w:rPr>
        <w:t>originals or copies of completed and marked assessments for a minimum of 18 months</w:t>
      </w:r>
      <w:r w:rsidR="00B30C93">
        <w:rPr>
          <w:color w:val="A02B93" w:themeColor="accent5"/>
        </w:rPr>
        <w:t xml:space="preserve">. </w:t>
      </w:r>
      <w:r w:rsidR="00C14B08">
        <w:rPr>
          <w:color w:val="A02B93" w:themeColor="accent5"/>
        </w:rPr>
        <w:t xml:space="preserve">It will </w:t>
      </w:r>
      <w:r w:rsidR="00B30C93">
        <w:rPr>
          <w:color w:val="A02B93" w:themeColor="accent5"/>
        </w:rPr>
        <w:t xml:space="preserve">also participate in </w:t>
      </w:r>
      <w:r w:rsidR="00C14B08">
        <w:rPr>
          <w:color w:val="A02B93" w:themeColor="accent5"/>
        </w:rPr>
        <w:t>regular consistency reviews conducted by ServiceIQ’s Quality Assurance team</w:t>
      </w:r>
      <w:r w:rsidR="002143BD">
        <w:rPr>
          <w:color w:val="A02B93" w:themeColor="accent5"/>
        </w:rPr>
        <w:t xml:space="preserve"> to ensure consistency of qualification achievement by students.</w:t>
      </w:r>
    </w:p>
    <w:p w14:paraId="6DF28E7F" w14:textId="77777777" w:rsidR="00C14B08" w:rsidRDefault="00C14B08" w:rsidP="00D96306">
      <w:pPr>
        <w:rPr>
          <w:color w:val="A02B93" w:themeColor="accent5"/>
        </w:rPr>
      </w:pPr>
    </w:p>
    <w:p w14:paraId="36E07AA8" w14:textId="77777777" w:rsidR="003D406D" w:rsidRDefault="003D406D" w:rsidP="00D96306"/>
    <w:sectPr w:rsidR="003D406D" w:rsidSect="004101F8">
      <w:footerReference w:type="default" r:id="rId28"/>
      <w:pgSz w:w="11906" w:h="16838"/>
      <w:pgMar w:top="1440" w:right="1440" w:bottom="81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ara Kennedy" w:date="2025-02-17T15:56:00Z" w:initials="KK">
    <w:p w14:paraId="58E5C971" w14:textId="77777777" w:rsidR="00936D1B" w:rsidRDefault="00936D1B" w:rsidP="00936D1B">
      <w:pPr>
        <w:pStyle w:val="CommentText"/>
      </w:pPr>
      <w:r>
        <w:rPr>
          <w:rStyle w:val="CommentReference"/>
        </w:rPr>
        <w:annotationRef/>
      </w:r>
      <w:r>
        <w:t>Attach ServiceIQ ‘s letter of support from Quality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5C9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5806D" w16cex:dateUtc="2025-02-17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5C971" w16cid:durableId="40C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A2AA" w14:textId="77777777" w:rsidR="00AA69D8" w:rsidRDefault="00AA69D8" w:rsidP="00F624E5">
      <w:pPr>
        <w:spacing w:after="0" w:line="240" w:lineRule="auto"/>
      </w:pPr>
      <w:r>
        <w:separator/>
      </w:r>
    </w:p>
  </w:endnote>
  <w:endnote w:type="continuationSeparator" w:id="0">
    <w:p w14:paraId="516E3D9D" w14:textId="77777777" w:rsidR="00AA69D8" w:rsidRDefault="00AA69D8" w:rsidP="00F6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481192"/>
      <w:docPartObj>
        <w:docPartGallery w:val="Page Numbers (Bottom of Page)"/>
        <w:docPartUnique/>
      </w:docPartObj>
    </w:sdtPr>
    <w:sdtEndPr>
      <w:rPr>
        <w:noProof/>
        <w:sz w:val="18"/>
        <w:szCs w:val="18"/>
      </w:rPr>
    </w:sdtEndPr>
    <w:sdtContent>
      <w:p w14:paraId="409995F5" w14:textId="2530D346" w:rsidR="007C1827" w:rsidRPr="007C1827" w:rsidRDefault="007C1827">
        <w:pPr>
          <w:pStyle w:val="Footer"/>
          <w:jc w:val="center"/>
          <w:rPr>
            <w:sz w:val="18"/>
            <w:szCs w:val="18"/>
          </w:rPr>
        </w:pPr>
        <w:r w:rsidRPr="007C1827">
          <w:rPr>
            <w:sz w:val="18"/>
            <w:szCs w:val="18"/>
          </w:rPr>
          <w:fldChar w:fldCharType="begin"/>
        </w:r>
        <w:r w:rsidRPr="007C1827">
          <w:rPr>
            <w:sz w:val="18"/>
            <w:szCs w:val="18"/>
          </w:rPr>
          <w:instrText xml:space="preserve"> PAGE   \* MERGEFORMAT </w:instrText>
        </w:r>
        <w:r w:rsidRPr="007C1827">
          <w:rPr>
            <w:sz w:val="18"/>
            <w:szCs w:val="18"/>
          </w:rPr>
          <w:fldChar w:fldCharType="separate"/>
        </w:r>
        <w:r w:rsidRPr="007C1827">
          <w:rPr>
            <w:noProof/>
            <w:sz w:val="18"/>
            <w:szCs w:val="18"/>
          </w:rPr>
          <w:t>2</w:t>
        </w:r>
        <w:r w:rsidRPr="007C1827">
          <w:rPr>
            <w:noProof/>
            <w:sz w:val="18"/>
            <w:szCs w:val="18"/>
          </w:rPr>
          <w:fldChar w:fldCharType="end"/>
        </w:r>
      </w:p>
    </w:sdtContent>
  </w:sdt>
  <w:p w14:paraId="791051A1" w14:textId="77777777" w:rsidR="00F624E5" w:rsidRDefault="00F6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26DB" w14:textId="77777777" w:rsidR="00AA69D8" w:rsidRDefault="00AA69D8" w:rsidP="00F624E5">
      <w:pPr>
        <w:spacing w:after="0" w:line="240" w:lineRule="auto"/>
      </w:pPr>
      <w:r>
        <w:separator/>
      </w:r>
    </w:p>
  </w:footnote>
  <w:footnote w:type="continuationSeparator" w:id="0">
    <w:p w14:paraId="36060035" w14:textId="77777777" w:rsidR="00AA69D8" w:rsidRDefault="00AA69D8" w:rsidP="00F62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6B8"/>
    <w:multiLevelType w:val="hybridMultilevel"/>
    <w:tmpl w:val="CF2C3F7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877DAB"/>
    <w:multiLevelType w:val="hybridMultilevel"/>
    <w:tmpl w:val="FD24E3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9F53B2"/>
    <w:multiLevelType w:val="hybridMultilevel"/>
    <w:tmpl w:val="1CB0CB86"/>
    <w:lvl w:ilvl="0" w:tplc="4E160F2C">
      <w:start w:val="1"/>
      <w:numFmt w:val="bullet"/>
      <w:lvlText w:val=""/>
      <w:lvlJc w:val="left"/>
      <w:pPr>
        <w:ind w:left="1440" w:hanging="360"/>
      </w:pPr>
      <w:rPr>
        <w:rFonts w:ascii="Symbol" w:hAnsi="Symbol"/>
      </w:rPr>
    </w:lvl>
    <w:lvl w:ilvl="1" w:tplc="70C82D3A">
      <w:start w:val="1"/>
      <w:numFmt w:val="bullet"/>
      <w:lvlText w:val=""/>
      <w:lvlJc w:val="left"/>
      <w:pPr>
        <w:ind w:left="1440" w:hanging="360"/>
      </w:pPr>
      <w:rPr>
        <w:rFonts w:ascii="Symbol" w:hAnsi="Symbol"/>
      </w:rPr>
    </w:lvl>
    <w:lvl w:ilvl="2" w:tplc="8E82B6D6">
      <w:start w:val="1"/>
      <w:numFmt w:val="bullet"/>
      <w:lvlText w:val=""/>
      <w:lvlJc w:val="left"/>
      <w:pPr>
        <w:ind w:left="1440" w:hanging="360"/>
      </w:pPr>
      <w:rPr>
        <w:rFonts w:ascii="Symbol" w:hAnsi="Symbol"/>
      </w:rPr>
    </w:lvl>
    <w:lvl w:ilvl="3" w:tplc="E6481B98">
      <w:start w:val="1"/>
      <w:numFmt w:val="bullet"/>
      <w:lvlText w:val=""/>
      <w:lvlJc w:val="left"/>
      <w:pPr>
        <w:ind w:left="1440" w:hanging="360"/>
      </w:pPr>
      <w:rPr>
        <w:rFonts w:ascii="Symbol" w:hAnsi="Symbol"/>
      </w:rPr>
    </w:lvl>
    <w:lvl w:ilvl="4" w:tplc="14D82550">
      <w:start w:val="1"/>
      <w:numFmt w:val="bullet"/>
      <w:lvlText w:val=""/>
      <w:lvlJc w:val="left"/>
      <w:pPr>
        <w:ind w:left="1440" w:hanging="360"/>
      </w:pPr>
      <w:rPr>
        <w:rFonts w:ascii="Symbol" w:hAnsi="Symbol"/>
      </w:rPr>
    </w:lvl>
    <w:lvl w:ilvl="5" w:tplc="EEB8BA5A">
      <w:start w:val="1"/>
      <w:numFmt w:val="bullet"/>
      <w:lvlText w:val=""/>
      <w:lvlJc w:val="left"/>
      <w:pPr>
        <w:ind w:left="1440" w:hanging="360"/>
      </w:pPr>
      <w:rPr>
        <w:rFonts w:ascii="Symbol" w:hAnsi="Symbol"/>
      </w:rPr>
    </w:lvl>
    <w:lvl w:ilvl="6" w:tplc="8ADEF054">
      <w:start w:val="1"/>
      <w:numFmt w:val="bullet"/>
      <w:lvlText w:val=""/>
      <w:lvlJc w:val="left"/>
      <w:pPr>
        <w:ind w:left="1440" w:hanging="360"/>
      </w:pPr>
      <w:rPr>
        <w:rFonts w:ascii="Symbol" w:hAnsi="Symbol"/>
      </w:rPr>
    </w:lvl>
    <w:lvl w:ilvl="7" w:tplc="5EDCBA0A">
      <w:start w:val="1"/>
      <w:numFmt w:val="bullet"/>
      <w:lvlText w:val=""/>
      <w:lvlJc w:val="left"/>
      <w:pPr>
        <w:ind w:left="1440" w:hanging="360"/>
      </w:pPr>
      <w:rPr>
        <w:rFonts w:ascii="Symbol" w:hAnsi="Symbol"/>
      </w:rPr>
    </w:lvl>
    <w:lvl w:ilvl="8" w:tplc="C8642126">
      <w:start w:val="1"/>
      <w:numFmt w:val="bullet"/>
      <w:lvlText w:val=""/>
      <w:lvlJc w:val="left"/>
      <w:pPr>
        <w:ind w:left="1440" w:hanging="360"/>
      </w:pPr>
      <w:rPr>
        <w:rFonts w:ascii="Symbol" w:hAnsi="Symbol"/>
      </w:rPr>
    </w:lvl>
  </w:abstractNum>
  <w:abstractNum w:abstractNumId="3" w15:restartNumberingAfterBreak="0">
    <w:nsid w:val="0CC5154E"/>
    <w:multiLevelType w:val="hybridMultilevel"/>
    <w:tmpl w:val="1BF86D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AE3381"/>
    <w:multiLevelType w:val="hybridMultilevel"/>
    <w:tmpl w:val="334692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E4B6F"/>
    <w:multiLevelType w:val="hybridMultilevel"/>
    <w:tmpl w:val="2BFA848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72D3520"/>
    <w:multiLevelType w:val="hybridMultilevel"/>
    <w:tmpl w:val="8970195E"/>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283B1740"/>
    <w:multiLevelType w:val="hybridMultilevel"/>
    <w:tmpl w:val="3ADC7C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ED40F5"/>
    <w:multiLevelType w:val="hybridMultilevel"/>
    <w:tmpl w:val="88F45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556590"/>
    <w:multiLevelType w:val="hybridMultilevel"/>
    <w:tmpl w:val="42B8F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320D5B"/>
    <w:multiLevelType w:val="hybridMultilevel"/>
    <w:tmpl w:val="80E8D5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DFF73D6"/>
    <w:multiLevelType w:val="hybridMultilevel"/>
    <w:tmpl w:val="785A822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6324167E"/>
    <w:multiLevelType w:val="hybridMultilevel"/>
    <w:tmpl w:val="2E00278A"/>
    <w:lvl w:ilvl="0" w:tplc="1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84F655C"/>
    <w:multiLevelType w:val="hybridMultilevel"/>
    <w:tmpl w:val="E1063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87762F1"/>
    <w:multiLevelType w:val="hybridMultilevel"/>
    <w:tmpl w:val="FADA0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3FD0CAA"/>
    <w:multiLevelType w:val="hybridMultilevel"/>
    <w:tmpl w:val="01EAF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7A83335"/>
    <w:multiLevelType w:val="hybridMultilevel"/>
    <w:tmpl w:val="53484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9A46C60"/>
    <w:multiLevelType w:val="hybridMultilevel"/>
    <w:tmpl w:val="D56876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7E816BA0"/>
    <w:multiLevelType w:val="hybridMultilevel"/>
    <w:tmpl w:val="44EA1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29696110">
    <w:abstractNumId w:val="17"/>
  </w:num>
  <w:num w:numId="2" w16cid:durableId="1185823811">
    <w:abstractNumId w:val="5"/>
  </w:num>
  <w:num w:numId="3" w16cid:durableId="126120946">
    <w:abstractNumId w:val="11"/>
  </w:num>
  <w:num w:numId="4" w16cid:durableId="1512991437">
    <w:abstractNumId w:val="3"/>
  </w:num>
  <w:num w:numId="5" w16cid:durableId="576593744">
    <w:abstractNumId w:val="14"/>
  </w:num>
  <w:num w:numId="6" w16cid:durableId="624000243">
    <w:abstractNumId w:val="10"/>
  </w:num>
  <w:num w:numId="7" w16cid:durableId="434641074">
    <w:abstractNumId w:val="12"/>
  </w:num>
  <w:num w:numId="8" w16cid:durableId="1272515063">
    <w:abstractNumId w:val="1"/>
  </w:num>
  <w:num w:numId="9" w16cid:durableId="1482119164">
    <w:abstractNumId w:val="6"/>
  </w:num>
  <w:num w:numId="10" w16cid:durableId="1799908818">
    <w:abstractNumId w:val="13"/>
  </w:num>
  <w:num w:numId="11" w16cid:durableId="2052803449">
    <w:abstractNumId w:val="2"/>
  </w:num>
  <w:num w:numId="12" w16cid:durableId="174416775">
    <w:abstractNumId w:val="18"/>
  </w:num>
  <w:num w:numId="13" w16cid:durableId="2066444791">
    <w:abstractNumId w:val="0"/>
  </w:num>
  <w:num w:numId="14" w16cid:durableId="827479753">
    <w:abstractNumId w:val="8"/>
  </w:num>
  <w:num w:numId="15" w16cid:durableId="1117262738">
    <w:abstractNumId w:val="15"/>
  </w:num>
  <w:num w:numId="16" w16cid:durableId="89546218">
    <w:abstractNumId w:val="7"/>
  </w:num>
  <w:num w:numId="17" w16cid:durableId="132254047">
    <w:abstractNumId w:val="9"/>
  </w:num>
  <w:num w:numId="18" w16cid:durableId="1808812856">
    <w:abstractNumId w:val="16"/>
  </w:num>
  <w:num w:numId="19" w16cid:durableId="15723475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a Kennedy">
    <w15:presenceInfo w15:providerId="None" w15:userId="Kara Kenne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EB"/>
    <w:rsid w:val="00012380"/>
    <w:rsid w:val="0003351A"/>
    <w:rsid w:val="000A4897"/>
    <w:rsid w:val="000B058D"/>
    <w:rsid w:val="001B77E2"/>
    <w:rsid w:val="002143BD"/>
    <w:rsid w:val="00256DEB"/>
    <w:rsid w:val="003D406D"/>
    <w:rsid w:val="003E1D24"/>
    <w:rsid w:val="004101F8"/>
    <w:rsid w:val="005331D4"/>
    <w:rsid w:val="005A5A01"/>
    <w:rsid w:val="005B132B"/>
    <w:rsid w:val="00604218"/>
    <w:rsid w:val="00661D3B"/>
    <w:rsid w:val="00671958"/>
    <w:rsid w:val="007B4557"/>
    <w:rsid w:val="007C1827"/>
    <w:rsid w:val="008B647E"/>
    <w:rsid w:val="00934CC8"/>
    <w:rsid w:val="00936D1B"/>
    <w:rsid w:val="009E7FA6"/>
    <w:rsid w:val="00A84388"/>
    <w:rsid w:val="00AA69D8"/>
    <w:rsid w:val="00B0261C"/>
    <w:rsid w:val="00B30C93"/>
    <w:rsid w:val="00BC0EDE"/>
    <w:rsid w:val="00BC1F88"/>
    <w:rsid w:val="00BC2CF7"/>
    <w:rsid w:val="00BF160F"/>
    <w:rsid w:val="00C14B08"/>
    <w:rsid w:val="00C8002C"/>
    <w:rsid w:val="00CA111E"/>
    <w:rsid w:val="00D4310B"/>
    <w:rsid w:val="00D57EE6"/>
    <w:rsid w:val="00D96306"/>
    <w:rsid w:val="00DA329F"/>
    <w:rsid w:val="00E204A4"/>
    <w:rsid w:val="00E37222"/>
    <w:rsid w:val="00E52B01"/>
    <w:rsid w:val="00EE742D"/>
    <w:rsid w:val="00F24C23"/>
    <w:rsid w:val="00F57947"/>
    <w:rsid w:val="00F624E5"/>
    <w:rsid w:val="00FC6568"/>
    <w:rsid w:val="00FE3DFE"/>
    <w:rsid w:val="01D98354"/>
    <w:rsid w:val="1DBE6AA3"/>
    <w:rsid w:val="4DBD64D6"/>
    <w:rsid w:val="5516CCFA"/>
    <w:rsid w:val="76C471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763F"/>
  <w15:chartTrackingRefBased/>
  <w15:docId w15:val="{100320FF-3B3D-484D-8BF9-7284CF3F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6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6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6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6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DEB"/>
    <w:rPr>
      <w:rFonts w:eastAsiaTheme="majorEastAsia" w:cstheme="majorBidi"/>
      <w:color w:val="272727" w:themeColor="text1" w:themeTint="D8"/>
    </w:rPr>
  </w:style>
  <w:style w:type="paragraph" w:styleId="Title">
    <w:name w:val="Title"/>
    <w:basedOn w:val="Normal"/>
    <w:next w:val="Normal"/>
    <w:link w:val="TitleChar"/>
    <w:uiPriority w:val="10"/>
    <w:qFormat/>
    <w:rsid w:val="00256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DEB"/>
    <w:pPr>
      <w:spacing w:before="160"/>
      <w:jc w:val="center"/>
    </w:pPr>
    <w:rPr>
      <w:i/>
      <w:iCs/>
      <w:color w:val="404040" w:themeColor="text1" w:themeTint="BF"/>
    </w:rPr>
  </w:style>
  <w:style w:type="character" w:customStyle="1" w:styleId="QuoteChar">
    <w:name w:val="Quote Char"/>
    <w:basedOn w:val="DefaultParagraphFont"/>
    <w:link w:val="Quote"/>
    <w:uiPriority w:val="29"/>
    <w:rsid w:val="00256DEB"/>
    <w:rPr>
      <w:i/>
      <w:iCs/>
      <w:color w:val="404040" w:themeColor="text1" w:themeTint="BF"/>
    </w:rPr>
  </w:style>
  <w:style w:type="paragraph" w:styleId="ListParagraph">
    <w:name w:val="List Paragraph"/>
    <w:basedOn w:val="Normal"/>
    <w:uiPriority w:val="34"/>
    <w:qFormat/>
    <w:rsid w:val="00256DEB"/>
    <w:pPr>
      <w:ind w:left="720"/>
      <w:contextualSpacing/>
    </w:pPr>
  </w:style>
  <w:style w:type="character" w:styleId="IntenseEmphasis">
    <w:name w:val="Intense Emphasis"/>
    <w:basedOn w:val="DefaultParagraphFont"/>
    <w:uiPriority w:val="21"/>
    <w:qFormat/>
    <w:rsid w:val="00256DEB"/>
    <w:rPr>
      <w:i/>
      <w:iCs/>
      <w:color w:val="0F4761" w:themeColor="accent1" w:themeShade="BF"/>
    </w:rPr>
  </w:style>
  <w:style w:type="paragraph" w:styleId="IntenseQuote">
    <w:name w:val="Intense Quote"/>
    <w:basedOn w:val="Normal"/>
    <w:next w:val="Normal"/>
    <w:link w:val="IntenseQuoteChar"/>
    <w:uiPriority w:val="30"/>
    <w:qFormat/>
    <w:rsid w:val="00256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DEB"/>
    <w:rPr>
      <w:i/>
      <w:iCs/>
      <w:color w:val="0F4761" w:themeColor="accent1" w:themeShade="BF"/>
    </w:rPr>
  </w:style>
  <w:style w:type="character" w:styleId="IntenseReference">
    <w:name w:val="Intense Reference"/>
    <w:basedOn w:val="DefaultParagraphFont"/>
    <w:uiPriority w:val="32"/>
    <w:qFormat/>
    <w:rsid w:val="00256DEB"/>
    <w:rPr>
      <w:b/>
      <w:bCs/>
      <w:smallCaps/>
      <w:color w:val="0F4761" w:themeColor="accent1" w:themeShade="BF"/>
      <w:spacing w:val="5"/>
    </w:rPr>
  </w:style>
  <w:style w:type="character" w:styleId="Hyperlink">
    <w:name w:val="Hyperlink"/>
    <w:basedOn w:val="DefaultParagraphFont"/>
    <w:uiPriority w:val="99"/>
    <w:unhideWhenUsed/>
    <w:rsid w:val="00256DEB"/>
    <w:rPr>
      <w:color w:val="467886" w:themeColor="hyperlink"/>
      <w:u w:val="single"/>
    </w:rPr>
  </w:style>
  <w:style w:type="character" w:styleId="UnresolvedMention">
    <w:name w:val="Unresolved Mention"/>
    <w:basedOn w:val="DefaultParagraphFont"/>
    <w:uiPriority w:val="99"/>
    <w:semiHidden/>
    <w:unhideWhenUsed/>
    <w:rsid w:val="00256DEB"/>
    <w:rPr>
      <w:color w:val="605E5C"/>
      <w:shd w:val="clear" w:color="auto" w:fill="E1DFDD"/>
    </w:rPr>
  </w:style>
  <w:style w:type="character" w:styleId="CommentReference">
    <w:name w:val="annotation reference"/>
    <w:basedOn w:val="DefaultParagraphFont"/>
    <w:uiPriority w:val="99"/>
    <w:semiHidden/>
    <w:unhideWhenUsed/>
    <w:rsid w:val="003D406D"/>
    <w:rPr>
      <w:sz w:val="16"/>
      <w:szCs w:val="16"/>
    </w:rPr>
  </w:style>
  <w:style w:type="paragraph" w:styleId="CommentText">
    <w:name w:val="annotation text"/>
    <w:basedOn w:val="Normal"/>
    <w:link w:val="CommentTextChar"/>
    <w:uiPriority w:val="99"/>
    <w:unhideWhenUsed/>
    <w:rsid w:val="003D406D"/>
    <w:pPr>
      <w:spacing w:line="240" w:lineRule="auto"/>
    </w:pPr>
    <w:rPr>
      <w:sz w:val="20"/>
      <w:szCs w:val="20"/>
    </w:rPr>
  </w:style>
  <w:style w:type="character" w:customStyle="1" w:styleId="CommentTextChar">
    <w:name w:val="Comment Text Char"/>
    <w:basedOn w:val="DefaultParagraphFont"/>
    <w:link w:val="CommentText"/>
    <w:uiPriority w:val="99"/>
    <w:rsid w:val="003D406D"/>
    <w:rPr>
      <w:sz w:val="20"/>
      <w:szCs w:val="20"/>
    </w:rPr>
  </w:style>
  <w:style w:type="paragraph" w:styleId="CommentSubject">
    <w:name w:val="annotation subject"/>
    <w:basedOn w:val="CommentText"/>
    <w:next w:val="CommentText"/>
    <w:link w:val="CommentSubjectChar"/>
    <w:uiPriority w:val="99"/>
    <w:semiHidden/>
    <w:unhideWhenUsed/>
    <w:rsid w:val="003D406D"/>
    <w:rPr>
      <w:b/>
      <w:bCs/>
    </w:rPr>
  </w:style>
  <w:style w:type="character" w:customStyle="1" w:styleId="CommentSubjectChar">
    <w:name w:val="Comment Subject Char"/>
    <w:basedOn w:val="CommentTextChar"/>
    <w:link w:val="CommentSubject"/>
    <w:uiPriority w:val="99"/>
    <w:semiHidden/>
    <w:rsid w:val="003D406D"/>
    <w:rPr>
      <w:b/>
      <w:bCs/>
      <w:sz w:val="20"/>
      <w:szCs w:val="20"/>
    </w:rPr>
  </w:style>
  <w:style w:type="table" w:styleId="TableGrid">
    <w:name w:val="Table Grid"/>
    <w:basedOn w:val="TableNormal"/>
    <w:uiPriority w:val="39"/>
    <w:rsid w:val="001B7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4E5"/>
  </w:style>
  <w:style w:type="paragraph" w:styleId="Footer">
    <w:name w:val="footer"/>
    <w:basedOn w:val="Normal"/>
    <w:link w:val="FooterChar"/>
    <w:uiPriority w:val="99"/>
    <w:unhideWhenUsed/>
    <w:rsid w:val="00F62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851926">
      <w:bodyDiv w:val="1"/>
      <w:marLeft w:val="0"/>
      <w:marRight w:val="0"/>
      <w:marTop w:val="0"/>
      <w:marBottom w:val="0"/>
      <w:divBdr>
        <w:top w:val="none" w:sz="0" w:space="0" w:color="auto"/>
        <w:left w:val="none" w:sz="0" w:space="0" w:color="auto"/>
        <w:bottom w:val="none" w:sz="0" w:space="0" w:color="auto"/>
        <w:right w:val="none" w:sz="0" w:space="0" w:color="auto"/>
      </w:divBdr>
    </w:div>
    <w:div w:id="151468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www.nzqa.govt.nz/nqfdocs/maps/pdf/0113.pdf"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ringahora.nz/qualifications-and-assurance/quality-assurance/consent-to-assess/"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www.nzqa.govt.nz/nqfdocs/maps/pdf/0112.pdf"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nzqa.govt.nz/framework/explore/domain.do?frameworkId=1465204103" TargetMode="External"/><Relationship Id="rId20" Type="http://schemas.openxmlformats.org/officeDocument/2006/relationships/hyperlink" Target="https://ringahora.nz/wp-content/uploads/2023/07/Ringa-Hora-Consent-to-assess-application-form-v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2.nzqa.govt.nz/" TargetMode="External"/><Relationship Id="rId23" Type="http://schemas.openxmlformats.org/officeDocument/2006/relationships/hyperlink" Target="https://taku.nzqa.govt.nz/auth/teacherlogin" TargetMode="External"/><Relationship Id="rId28"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yperlink" Target="https://www.nzqa.govt.nz/nqfdocs/maps/pdf/0226.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mailto:quality@serviceiq.org.nz" TargetMode="External"/><Relationship Id="rId27" Type="http://schemas.microsoft.com/office/2018/08/relationships/commentsExtensible" Target="commentsExtensible.xml"/><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BEB8F2-6409-462E-A11E-C84B9FEB57AE}" type="doc">
      <dgm:prSet loTypeId="urn:microsoft.com/office/officeart/2005/8/layout/chevron1" loCatId="process" qsTypeId="urn:microsoft.com/office/officeart/2005/8/quickstyle/simple1" qsCatId="simple" csTypeId="urn:microsoft.com/office/officeart/2005/8/colors/accent1_2" csCatId="accent1" phldr="1"/>
      <dgm:spPr/>
    </dgm:pt>
    <dgm:pt modelId="{33F2CA83-3308-475A-AD75-1ABA716CAD0A}">
      <dgm:prSet phldrT="[Text]"/>
      <dgm:spPr/>
      <dgm:t>
        <a:bodyPr/>
        <a:lstStyle/>
        <a:p>
          <a:r>
            <a:rPr lang="en-NZ" b="1">
              <a:solidFill>
                <a:srgbClr val="FFFF00"/>
              </a:solidFill>
            </a:rPr>
            <a:t>Part 1: Ringa Hora</a:t>
          </a:r>
          <a:br>
            <a:rPr lang="en-NZ"/>
          </a:br>
          <a:r>
            <a:rPr lang="en-NZ"/>
            <a:t>Apply for support for consent to assess unit/skill standards </a:t>
          </a:r>
          <a:br>
            <a:rPr lang="en-NZ"/>
          </a:br>
          <a:r>
            <a:rPr lang="en-NZ"/>
            <a:t>(if applicable)</a:t>
          </a:r>
        </a:p>
      </dgm:t>
    </dgm:pt>
    <dgm:pt modelId="{0C37E7BE-98B3-4A9F-A13B-775D2AB4D40E}" type="parTrans" cxnId="{F35DBA3F-E4D0-4425-8869-3BF995C30A95}">
      <dgm:prSet/>
      <dgm:spPr/>
      <dgm:t>
        <a:bodyPr/>
        <a:lstStyle/>
        <a:p>
          <a:endParaRPr lang="en-NZ"/>
        </a:p>
      </dgm:t>
    </dgm:pt>
    <dgm:pt modelId="{C9144ADB-CB1F-42F5-A770-9B6173DB0BB3}" type="sibTrans" cxnId="{F35DBA3F-E4D0-4425-8869-3BF995C30A95}">
      <dgm:prSet/>
      <dgm:spPr/>
      <dgm:t>
        <a:bodyPr/>
        <a:lstStyle/>
        <a:p>
          <a:endParaRPr lang="en-NZ"/>
        </a:p>
      </dgm:t>
    </dgm:pt>
    <dgm:pt modelId="{BB1285A1-60B6-4786-9C81-18A940D97989}">
      <dgm:prSet phldrT="[Text]"/>
      <dgm:spPr/>
      <dgm:t>
        <a:bodyPr/>
        <a:lstStyle/>
        <a:p>
          <a:r>
            <a:rPr lang="en-NZ" b="1">
              <a:solidFill>
                <a:srgbClr val="FFFF00"/>
              </a:solidFill>
            </a:rPr>
            <a:t>Part 2: ServiceIQ</a:t>
          </a:r>
          <a:br>
            <a:rPr lang="en-NZ" b="1">
              <a:solidFill>
                <a:srgbClr val="FFFF00"/>
              </a:solidFill>
            </a:rPr>
          </a:br>
          <a:r>
            <a:rPr lang="en-NZ"/>
            <a:t>Request letter of support for accreditation to deliver programme</a:t>
          </a:r>
        </a:p>
      </dgm:t>
    </dgm:pt>
    <dgm:pt modelId="{E50CF93E-93AF-49E2-976F-E0A076C0A7E7}" type="parTrans" cxnId="{435D6EF8-19AB-4251-A864-C09C404E4BF8}">
      <dgm:prSet/>
      <dgm:spPr/>
      <dgm:t>
        <a:bodyPr/>
        <a:lstStyle/>
        <a:p>
          <a:endParaRPr lang="en-NZ"/>
        </a:p>
      </dgm:t>
    </dgm:pt>
    <dgm:pt modelId="{7D08D66E-D4C8-4681-96DA-E9CC8416079B}" type="sibTrans" cxnId="{435D6EF8-19AB-4251-A864-C09C404E4BF8}">
      <dgm:prSet/>
      <dgm:spPr/>
      <dgm:t>
        <a:bodyPr/>
        <a:lstStyle/>
        <a:p>
          <a:endParaRPr lang="en-NZ"/>
        </a:p>
      </dgm:t>
    </dgm:pt>
    <dgm:pt modelId="{3C4ECDC4-A949-4C42-8184-611C17978792}">
      <dgm:prSet phldrT="[Text]"/>
      <dgm:spPr/>
      <dgm:t>
        <a:bodyPr/>
        <a:lstStyle/>
        <a:p>
          <a:r>
            <a:rPr lang="en-NZ" b="1">
              <a:solidFill>
                <a:srgbClr val="FFFF00"/>
              </a:solidFill>
            </a:rPr>
            <a:t>Part 3: NZQA</a:t>
          </a:r>
          <a:br>
            <a:rPr lang="en-NZ" b="1">
              <a:solidFill>
                <a:srgbClr val="FFFF00"/>
              </a:solidFill>
            </a:rPr>
          </a:br>
          <a:r>
            <a:rPr lang="en-NZ"/>
            <a:t>Apply for programme accreditation and consent to assess unit/skill standards</a:t>
          </a:r>
        </a:p>
      </dgm:t>
    </dgm:pt>
    <dgm:pt modelId="{682FFF9F-4EFC-4FA0-9EE5-FBC64EA1689C}" type="parTrans" cxnId="{39C2C9CF-4B6A-42DB-9743-79AFB2A906D6}">
      <dgm:prSet/>
      <dgm:spPr/>
      <dgm:t>
        <a:bodyPr/>
        <a:lstStyle/>
        <a:p>
          <a:endParaRPr lang="en-NZ"/>
        </a:p>
      </dgm:t>
    </dgm:pt>
    <dgm:pt modelId="{007CD884-BCD0-4FE3-BF8F-8431890A87EF}" type="sibTrans" cxnId="{39C2C9CF-4B6A-42DB-9743-79AFB2A906D6}">
      <dgm:prSet/>
      <dgm:spPr/>
      <dgm:t>
        <a:bodyPr/>
        <a:lstStyle/>
        <a:p>
          <a:endParaRPr lang="en-NZ"/>
        </a:p>
      </dgm:t>
    </dgm:pt>
    <dgm:pt modelId="{5A8D9645-395A-447B-A148-1F49292474F3}" type="pres">
      <dgm:prSet presAssocID="{01BEB8F2-6409-462E-A11E-C84B9FEB57AE}" presName="Name0" presStyleCnt="0">
        <dgm:presLayoutVars>
          <dgm:dir/>
          <dgm:animLvl val="lvl"/>
          <dgm:resizeHandles val="exact"/>
        </dgm:presLayoutVars>
      </dgm:prSet>
      <dgm:spPr/>
    </dgm:pt>
    <dgm:pt modelId="{85230358-D235-4796-B2BF-8883CA61D2FE}" type="pres">
      <dgm:prSet presAssocID="{33F2CA83-3308-475A-AD75-1ABA716CAD0A}" presName="parTxOnly" presStyleLbl="node1" presStyleIdx="0" presStyleCnt="3">
        <dgm:presLayoutVars>
          <dgm:chMax val="0"/>
          <dgm:chPref val="0"/>
          <dgm:bulletEnabled val="1"/>
        </dgm:presLayoutVars>
      </dgm:prSet>
      <dgm:spPr/>
    </dgm:pt>
    <dgm:pt modelId="{BF3284DB-3FA5-4150-85B0-556736706C3C}" type="pres">
      <dgm:prSet presAssocID="{C9144ADB-CB1F-42F5-A770-9B6173DB0BB3}" presName="parTxOnlySpace" presStyleCnt="0"/>
      <dgm:spPr/>
    </dgm:pt>
    <dgm:pt modelId="{7EC0E03B-CAB6-40DA-8B8F-44877ABB56D2}" type="pres">
      <dgm:prSet presAssocID="{BB1285A1-60B6-4786-9C81-18A940D97989}" presName="parTxOnly" presStyleLbl="node1" presStyleIdx="1" presStyleCnt="3">
        <dgm:presLayoutVars>
          <dgm:chMax val="0"/>
          <dgm:chPref val="0"/>
          <dgm:bulletEnabled val="1"/>
        </dgm:presLayoutVars>
      </dgm:prSet>
      <dgm:spPr/>
    </dgm:pt>
    <dgm:pt modelId="{7F941C11-DAE5-46EA-B25C-718DC242DF6C}" type="pres">
      <dgm:prSet presAssocID="{7D08D66E-D4C8-4681-96DA-E9CC8416079B}" presName="parTxOnlySpace" presStyleCnt="0"/>
      <dgm:spPr/>
    </dgm:pt>
    <dgm:pt modelId="{853BF8FC-7933-4D17-8D9A-D14A17C8AD49}" type="pres">
      <dgm:prSet presAssocID="{3C4ECDC4-A949-4C42-8184-611C17978792}" presName="parTxOnly" presStyleLbl="node1" presStyleIdx="2" presStyleCnt="3">
        <dgm:presLayoutVars>
          <dgm:chMax val="0"/>
          <dgm:chPref val="0"/>
          <dgm:bulletEnabled val="1"/>
        </dgm:presLayoutVars>
      </dgm:prSet>
      <dgm:spPr/>
    </dgm:pt>
  </dgm:ptLst>
  <dgm:cxnLst>
    <dgm:cxn modelId="{F35DBA3F-E4D0-4425-8869-3BF995C30A95}" srcId="{01BEB8F2-6409-462E-A11E-C84B9FEB57AE}" destId="{33F2CA83-3308-475A-AD75-1ABA716CAD0A}" srcOrd="0" destOrd="0" parTransId="{0C37E7BE-98B3-4A9F-A13B-775D2AB4D40E}" sibTransId="{C9144ADB-CB1F-42F5-A770-9B6173DB0BB3}"/>
    <dgm:cxn modelId="{2750B753-E237-4E46-B328-1128D4A3B0DB}" type="presOf" srcId="{BB1285A1-60B6-4786-9C81-18A940D97989}" destId="{7EC0E03B-CAB6-40DA-8B8F-44877ABB56D2}" srcOrd="0" destOrd="0" presId="urn:microsoft.com/office/officeart/2005/8/layout/chevron1"/>
    <dgm:cxn modelId="{6BA2E1A3-0453-49E8-BD01-9C6EDCBDC0EE}" type="presOf" srcId="{33F2CA83-3308-475A-AD75-1ABA716CAD0A}" destId="{85230358-D235-4796-B2BF-8883CA61D2FE}" srcOrd="0" destOrd="0" presId="urn:microsoft.com/office/officeart/2005/8/layout/chevron1"/>
    <dgm:cxn modelId="{4F3E54CA-96B6-4BBB-AAC6-4F18F2470507}" type="presOf" srcId="{01BEB8F2-6409-462E-A11E-C84B9FEB57AE}" destId="{5A8D9645-395A-447B-A148-1F49292474F3}" srcOrd="0" destOrd="0" presId="urn:microsoft.com/office/officeart/2005/8/layout/chevron1"/>
    <dgm:cxn modelId="{39C2C9CF-4B6A-42DB-9743-79AFB2A906D6}" srcId="{01BEB8F2-6409-462E-A11E-C84B9FEB57AE}" destId="{3C4ECDC4-A949-4C42-8184-611C17978792}" srcOrd="2" destOrd="0" parTransId="{682FFF9F-4EFC-4FA0-9EE5-FBC64EA1689C}" sibTransId="{007CD884-BCD0-4FE3-BF8F-8431890A87EF}"/>
    <dgm:cxn modelId="{BA1C12F5-6C6B-409F-B491-48286C205F60}" type="presOf" srcId="{3C4ECDC4-A949-4C42-8184-611C17978792}" destId="{853BF8FC-7933-4D17-8D9A-D14A17C8AD49}" srcOrd="0" destOrd="0" presId="urn:microsoft.com/office/officeart/2005/8/layout/chevron1"/>
    <dgm:cxn modelId="{435D6EF8-19AB-4251-A864-C09C404E4BF8}" srcId="{01BEB8F2-6409-462E-A11E-C84B9FEB57AE}" destId="{BB1285A1-60B6-4786-9C81-18A940D97989}" srcOrd="1" destOrd="0" parTransId="{E50CF93E-93AF-49E2-976F-E0A076C0A7E7}" sibTransId="{7D08D66E-D4C8-4681-96DA-E9CC8416079B}"/>
    <dgm:cxn modelId="{7B913E8F-2980-4F2B-A62F-730BAAA093CE}" type="presParOf" srcId="{5A8D9645-395A-447B-A148-1F49292474F3}" destId="{85230358-D235-4796-B2BF-8883CA61D2FE}" srcOrd="0" destOrd="0" presId="urn:microsoft.com/office/officeart/2005/8/layout/chevron1"/>
    <dgm:cxn modelId="{A00ED10D-0DE8-463C-BF68-4FA2796E7926}" type="presParOf" srcId="{5A8D9645-395A-447B-A148-1F49292474F3}" destId="{BF3284DB-3FA5-4150-85B0-556736706C3C}" srcOrd="1" destOrd="0" presId="urn:microsoft.com/office/officeart/2005/8/layout/chevron1"/>
    <dgm:cxn modelId="{4CBD2879-C7ED-40C1-BA79-8E0949111261}" type="presParOf" srcId="{5A8D9645-395A-447B-A148-1F49292474F3}" destId="{7EC0E03B-CAB6-40DA-8B8F-44877ABB56D2}" srcOrd="2" destOrd="0" presId="urn:microsoft.com/office/officeart/2005/8/layout/chevron1"/>
    <dgm:cxn modelId="{BDD1A90E-E99D-4E8B-867E-696FFDC956D0}" type="presParOf" srcId="{5A8D9645-395A-447B-A148-1F49292474F3}" destId="{7F941C11-DAE5-46EA-B25C-718DC242DF6C}" srcOrd="3" destOrd="0" presId="urn:microsoft.com/office/officeart/2005/8/layout/chevron1"/>
    <dgm:cxn modelId="{1BB67F63-8C84-4CBB-88F5-D32DB1D2CE31}" type="presParOf" srcId="{5A8D9645-395A-447B-A148-1F49292474F3}" destId="{853BF8FC-7933-4D17-8D9A-D14A17C8AD49}" srcOrd="4"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230358-D235-4796-B2BF-8883CA61D2FE}">
      <dsp:nvSpPr>
        <dsp:cNvPr id="0" name=""/>
        <dsp:cNvSpPr/>
      </dsp:nvSpPr>
      <dsp:spPr>
        <a:xfrm>
          <a:off x="1869" y="68302"/>
          <a:ext cx="2277860" cy="9111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NZ" sz="1100" b="1" kern="1200">
              <a:solidFill>
                <a:srgbClr val="FFFF00"/>
              </a:solidFill>
            </a:rPr>
            <a:t>Part 1: Ringa Hora</a:t>
          </a:r>
          <a:br>
            <a:rPr lang="en-NZ" sz="1100" kern="1200"/>
          </a:br>
          <a:r>
            <a:rPr lang="en-NZ" sz="1100" kern="1200"/>
            <a:t>Apply for support for consent to assess unit/skill standards </a:t>
          </a:r>
          <a:br>
            <a:rPr lang="en-NZ" sz="1100" kern="1200"/>
          </a:br>
          <a:r>
            <a:rPr lang="en-NZ" sz="1100" kern="1200"/>
            <a:t>(if applicable)</a:t>
          </a:r>
        </a:p>
      </dsp:txBody>
      <dsp:txXfrm>
        <a:off x="457441" y="68302"/>
        <a:ext cx="1366716" cy="911144"/>
      </dsp:txXfrm>
    </dsp:sp>
    <dsp:sp modelId="{7EC0E03B-CAB6-40DA-8B8F-44877ABB56D2}">
      <dsp:nvSpPr>
        <dsp:cNvPr id="0" name=""/>
        <dsp:cNvSpPr/>
      </dsp:nvSpPr>
      <dsp:spPr>
        <a:xfrm>
          <a:off x="2051944" y="68302"/>
          <a:ext cx="2277860" cy="9111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NZ" sz="1100" b="1" kern="1200">
              <a:solidFill>
                <a:srgbClr val="FFFF00"/>
              </a:solidFill>
            </a:rPr>
            <a:t>Part 2: ServiceIQ</a:t>
          </a:r>
          <a:br>
            <a:rPr lang="en-NZ" sz="1100" b="1" kern="1200">
              <a:solidFill>
                <a:srgbClr val="FFFF00"/>
              </a:solidFill>
            </a:rPr>
          </a:br>
          <a:r>
            <a:rPr lang="en-NZ" sz="1100" kern="1200"/>
            <a:t>Request letter of support for accreditation to deliver programme</a:t>
          </a:r>
        </a:p>
      </dsp:txBody>
      <dsp:txXfrm>
        <a:off x="2507516" y="68302"/>
        <a:ext cx="1366716" cy="911144"/>
      </dsp:txXfrm>
    </dsp:sp>
    <dsp:sp modelId="{853BF8FC-7933-4D17-8D9A-D14A17C8AD49}">
      <dsp:nvSpPr>
        <dsp:cNvPr id="0" name=""/>
        <dsp:cNvSpPr/>
      </dsp:nvSpPr>
      <dsp:spPr>
        <a:xfrm>
          <a:off x="4102019" y="68302"/>
          <a:ext cx="2277860" cy="9111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NZ" sz="1100" b="1" kern="1200">
              <a:solidFill>
                <a:srgbClr val="FFFF00"/>
              </a:solidFill>
            </a:rPr>
            <a:t>Part 3: NZQA</a:t>
          </a:r>
          <a:br>
            <a:rPr lang="en-NZ" sz="1100" b="1" kern="1200">
              <a:solidFill>
                <a:srgbClr val="FFFF00"/>
              </a:solidFill>
            </a:rPr>
          </a:br>
          <a:r>
            <a:rPr lang="en-NZ" sz="1100" kern="1200"/>
            <a:t>Apply for programme accreditation and consent to assess unit/skill standards</a:t>
          </a:r>
        </a:p>
      </dsp:txBody>
      <dsp:txXfrm>
        <a:off x="4557591" y="68302"/>
        <a:ext cx="1366716" cy="91114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921eba-5f09-4fe9-8699-2468753f08e1" xsi:nil="true"/>
    <redacted xmlns="de5b5020-a9ad-45e2-b737-121bd6320299" xsi:nil="true"/>
    <TranslationStateNumberOfItems xmlns="http://schemas.microsoft.com/sharepoint/v3" xsi:nil="true"/>
    <Tagging xmlns="de5b5020-a9ad-45e2-b737-121bd6320299" xsi:nil="true"/>
    <Filecontent xmlns="de5b5020-a9ad-45e2-b737-121bd6320299" xsi:nil="true"/>
    <lcf76f155ced4ddcb4097134ff3c332f xmlns="de5b5020-a9ad-45e2-b737-121bd63202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0925E2E6DAB34F982E17CC0111472E" ma:contentTypeVersion="22" ma:contentTypeDescription="Create a new document." ma:contentTypeScope="" ma:versionID="75d6186e2ba49397be58d2bbadb00e74">
  <xsd:schema xmlns:xsd="http://www.w3.org/2001/XMLSchema" xmlns:xs="http://www.w3.org/2001/XMLSchema" xmlns:p="http://schemas.microsoft.com/office/2006/metadata/properties" xmlns:ns1="http://schemas.microsoft.com/sharepoint/v3" xmlns:ns2="de5b5020-a9ad-45e2-b737-121bd6320299" xmlns:ns3="f5921eba-5f09-4fe9-8699-2468753f08e1" targetNamespace="http://schemas.microsoft.com/office/2006/metadata/properties" ma:root="true" ma:fieldsID="304eb502285db68a279da32bce320528" ns1:_="" ns2:_="" ns3:_="">
    <xsd:import namespace="http://schemas.microsoft.com/sharepoint/v3"/>
    <xsd:import namespace="de5b5020-a9ad-45e2-b737-121bd6320299"/>
    <xsd:import namespace="f5921eba-5f09-4fe9-8699-2468753f08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1:TranslationStateNumberOfItems" minOccurs="0"/>
                <xsd:element ref="ns2:lcf76f155ced4ddcb4097134ff3c332f" minOccurs="0"/>
                <xsd:element ref="ns3:TaxCatchAll" minOccurs="0"/>
                <xsd:element ref="ns2:MediaServiceObjectDetectorVersions" minOccurs="0"/>
                <xsd:element ref="ns2:MediaServiceSearchProperties" minOccurs="0"/>
                <xsd:element ref="ns2:redacted" minOccurs="0"/>
                <xsd:element ref="ns2:Filecontent" minOccurs="0"/>
                <xsd:element ref="ns2:Tagg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NumberOfItems" ma:index="21" nillable="true" ma:displayName="Number of Items" ma:description="" ma:indexed="true" ma:internalName="TranslationStateNumberOfItem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e5b5020-a9ad-45e2-b737-121bd6320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2fae3b-e98a-46a8-8d66-866c4a79c2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dacted" ma:index="27" nillable="true" ma:displayName="redacted" ma:format="Dropdown" ma:indexed="true" ma:internalName="redacted">
      <xsd:simpleType>
        <xsd:restriction base="dms:Text">
          <xsd:maxLength value="255"/>
        </xsd:restriction>
      </xsd:simpleType>
    </xsd:element>
    <xsd:element name="Filecontent" ma:index="28" nillable="true" ma:displayName="File content" ma:format="Dropdown" ma:internalName="Filecontent">
      <xsd:simpleType>
        <xsd:restriction base="dms:Choice">
          <xsd:enumeration value="Sample"/>
          <xsd:enumeration value="IM Mod Report"/>
          <xsd:enumeration value="Assessment Docs"/>
          <xsd:enumeration value="PMreport"/>
          <xsd:enumeration value="WAGS"/>
          <xsd:enumeration value="Learning Materials"/>
          <xsd:enumeration value="Matrix"/>
          <xsd:enumeration value="Overview"/>
          <xsd:enumeration value="Unit Std"/>
          <xsd:enumeration value="Documentation"/>
          <xsd:enumeration value="Approval"/>
          <xsd:enumeration value="Data"/>
          <xsd:enumeration value="CR reports/presentation"/>
        </xsd:restriction>
      </xsd:simpleType>
    </xsd:element>
    <xsd:element name="Tagging" ma:index="29" nillable="true" ma:displayName="Tagging" ma:format="Dropdown" ma:internalName="Tagging">
      <xsd:simpleType>
        <xsd:union memberTypes="dms:Text">
          <xsd:simpleType>
            <xsd:restriction base="dms:Choice">
              <xsd:enumeration value="Data"/>
              <xsd:enumeration value="Review report"/>
              <xsd:enumeration value="Self Assessment"/>
              <xsd:enumeration value="Presentation"/>
              <xsd:enumeration value="PIT"/>
              <xsd:enumeration value="NZQA final report"/>
              <xsd:enumeration value="Matrix"/>
              <xsd:enumeration value="Assessment material"/>
              <xsd:enumeration value="Report"/>
              <xsd:enumeration value="Unit Standard"/>
              <xsd:enumeration value="WDC coversheet/report"/>
              <xsd:enumeration value="Moderation"/>
              <xsd:enumeration value="Client material"/>
              <xsd:enumeration value="SIQ admin docs"/>
              <xsd:enumeration value="Assessor Guide"/>
              <xsd:enumeration value="QL Overview Summar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5921eba-5f09-4fe9-8699-2468753f08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dab28ff-deb6-4444-8bcc-14bfaed24872}" ma:internalName="TaxCatchAll" ma:showField="CatchAllData" ma:web="f5921eba-5f09-4fe9-8699-2468753f0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76AF4-B322-473F-9F6C-720BF20005BA}">
  <ds:schemaRefs>
    <ds:schemaRef ds:uri="http://schemas.microsoft.com/office/2006/metadata/properties"/>
    <ds:schemaRef ds:uri="http://schemas.microsoft.com/office/infopath/2007/PartnerControls"/>
    <ds:schemaRef ds:uri="f5921eba-5f09-4fe9-8699-2468753f08e1"/>
    <ds:schemaRef ds:uri="de5b5020-a9ad-45e2-b737-121bd6320299"/>
    <ds:schemaRef ds:uri="http://schemas.microsoft.com/sharepoint/v3"/>
  </ds:schemaRefs>
</ds:datastoreItem>
</file>

<file path=customXml/itemProps2.xml><?xml version="1.0" encoding="utf-8"?>
<ds:datastoreItem xmlns:ds="http://schemas.openxmlformats.org/officeDocument/2006/customXml" ds:itemID="{0B768D2F-9D4F-4EF9-AC29-D7A968BDB891}">
  <ds:schemaRefs>
    <ds:schemaRef ds:uri="http://schemas.microsoft.com/sharepoint/v3/contenttype/forms"/>
  </ds:schemaRefs>
</ds:datastoreItem>
</file>

<file path=customXml/itemProps3.xml><?xml version="1.0" encoding="utf-8"?>
<ds:datastoreItem xmlns:ds="http://schemas.openxmlformats.org/officeDocument/2006/customXml" ds:itemID="{DB28CC8F-840D-45F5-8306-0B86B1BFB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5b5020-a9ad-45e2-b737-121bd6320299"/>
    <ds:schemaRef ds:uri="f5921eba-5f09-4fe9-8699-2468753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1679</Words>
  <Characters>9572</Characters>
  <Application>Microsoft Office Word</Application>
  <DocSecurity>0</DocSecurity>
  <Lines>79</Lines>
  <Paragraphs>22</Paragraphs>
  <ScaleCrop>false</ScaleCrop>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Kennedy</dc:creator>
  <cp:keywords/>
  <dc:description/>
  <cp:lastModifiedBy>Diana Davidson</cp:lastModifiedBy>
  <cp:revision>2</cp:revision>
  <dcterms:created xsi:type="dcterms:W3CDTF">2025-07-15T23:09:00Z</dcterms:created>
  <dcterms:modified xsi:type="dcterms:W3CDTF">2025-07-15T23:09:00Z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0x010100E50925E2E6DAB34F982E17CC0111472E</vt:lpwstr>
  </property>
  <property fmtid="{D5CDD505-2E9C-101B-9397-08002B2CF9AE}" pid="3" name="MediaServiceImageTags">
    <vt:lpwstr/>
  </property>
</Properties>
</file>